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0"/>
        <w:widowControl/>
        <w:rPr>
          <w:rFonts w:eastAsia="黑体"/>
        </w:rPr>
      </w:pPr>
      <w:r>
        <w:rPr>
          <w:rFonts w:eastAsia="黑体"/>
        </w:rPr>
      </w:r>
      <w:r/>
    </w:p>
    <w:p>
      <w:pPr>
        <w:pStyle w:val="770"/>
        <w:widowControl/>
        <w:rPr>
          <w:rFonts w:hint="eastAsia" w:asciiTheme="minorEastAsia" w:hAnsiTheme="minorEastAsia" w:eastAsiaTheme="minorEastAsia"/>
        </w:rPr>
      </w:pPr>
      <w:r>
        <w:rPr>
          <w:rFonts w:hint="eastAsia" w:asciiTheme="minorEastAsia" w:hAnsiTheme="minorEastAsia" w:eastAsiaTheme="minorEastAsia"/>
        </w:rPr>
      </w:r>
      <w:r/>
    </w:p>
    <w:p>
      <w:pPr>
        <w:pStyle w:val="770"/>
        <w:widowControl/>
        <w:rPr>
          <w:rFonts w:hint="eastAsia" w:asciiTheme="minorEastAsia" w:hAnsiTheme="minorEastAsia" w:eastAsiaTheme="minorEastAsia"/>
        </w:rPr>
      </w:pPr>
      <w:r>
        <w:rPr>
          <w:rFonts w:hint="eastAsia" w:asciiTheme="minorEastAsia" w:hAnsiTheme="minorEastAsia" w:eastAsiaTheme="minorEastAsia"/>
        </w:rPr>
      </w:r>
      <w:r/>
    </w:p>
    <w:p>
      <w:pPr>
        <w:pStyle w:val="770"/>
        <w:jc w:val="right"/>
        <w:spacing w:line="360" w:lineRule="auto"/>
        <w:rPr>
          <w:rFonts w:ascii="Arial" w:hAnsi="Arial" w:cs="Arial"/>
          <w:b/>
          <w:sz w:val="84"/>
          <w:szCs w:val="84"/>
        </w:rPr>
      </w:pPr>
      <w:r>
        <w:rPr>
          <w:rFonts w:ascii="Arial" w:hAnsi="Arial" w:cs="Arial"/>
          <w:b/>
          <w:sz w:val="84"/>
          <w:szCs w:val="84"/>
        </w:rPr>
      </w:r>
      <w:r/>
    </w:p>
    <w:p>
      <w:pPr>
        <w:pStyle w:val="770"/>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b/>
          <w:sz w:val="84"/>
          <w:szCs w:val="84"/>
        </w:rPr>
        <w:t xml:space="preserve">招 标 文 件</w:t>
      </w:r>
      <w:r/>
    </w:p>
    <w:p>
      <w:pPr>
        <w:pStyle w:val="770"/>
        <w:jc w:val="center"/>
        <w:spacing w:line="360" w:lineRule="auto"/>
        <w:rPr>
          <w:rFonts w:ascii="Arial" w:hAnsi="Arial" w:cs="Arial"/>
          <w:b/>
        </w:rPr>
      </w:pPr>
      <w:r>
        <w:rPr>
          <w:rFonts w:ascii="Arial" w:hAnsi="Arial" w:cs="Arial"/>
          <w:b/>
        </w:rPr>
      </w:r>
      <w:r/>
    </w:p>
    <w:p>
      <w:pPr>
        <w:pStyle w:val="770"/>
        <w:jc w:val="center"/>
        <w:spacing w:line="360" w:lineRule="auto"/>
        <w:rPr>
          <w:rFonts w:ascii="Arial" w:hAnsi="Arial" w:cs="Arial"/>
          <w:b/>
        </w:rPr>
      </w:pPr>
      <w:r>
        <w:rPr>
          <w:rFonts w:ascii="Arial" w:hAnsi="Arial" w:cs="Arial"/>
          <w:b/>
        </w:rPr>
      </w:r>
      <w:r/>
    </w:p>
    <w:p>
      <w:pPr>
        <w:pStyle w:val="770"/>
        <w:jc w:val="center"/>
        <w:rPr>
          <w:b/>
        </w:rPr>
      </w:pPr>
      <w:r>
        <w:rPr>
          <w:b/>
        </w:rPr>
      </w:r>
      <w:r/>
    </w:p>
    <w:p>
      <w:pPr>
        <w:pStyle w:val="770"/>
        <w:jc w:val="center"/>
        <w:rPr>
          <w:rFonts w:hint="eastAsia" w:asciiTheme="minorEastAsia" w:hAnsiTheme="minorEastAsia" w:eastAsiaTheme="minorEastAsia" w:cstheme="minorEastAsia"/>
          <w:b/>
          <w:bCs/>
          <w14:ligatures w14:val="none"/>
        </w:rPr>
      </w:pPr>
      <w:r>
        <w:rPr>
          <w:rFonts w:hint="eastAsia" w:asciiTheme="minorEastAsia" w:hAnsiTheme="minorEastAsia" w:eastAsiaTheme="minorEastAsia" w:cstheme="minorEastAsia"/>
          <w:b/>
        </w:rPr>
        <w:t xml:space="preserve">    项目编号：</w:t>
      </w:r>
      <w:r>
        <w:rPr>
          <w:rFonts w:hint="eastAsia" w:asciiTheme="minorEastAsia" w:hAnsiTheme="minorEastAsia" w:eastAsiaTheme="minorEastAsia" w:cstheme="minorEastAsia"/>
          <w:b/>
          <w:bCs/>
        </w:rPr>
        <w:tab/>
      </w:r>
      <w:r>
        <w:rPr>
          <w:rFonts w:hint="eastAsia" w:asciiTheme="minorEastAsia" w:hAnsiTheme="minorEastAsia" w:eastAsiaTheme="minorEastAsia" w:cstheme="minorEastAsia"/>
          <w:b/>
          <w:bCs/>
        </w:rPr>
        <w:t xml:space="preserve">JSZC-320900-JZCG-G2025-0068</w:t>
      </w:r>
      <w:r/>
    </w:p>
    <w:p>
      <w:pPr>
        <w:pStyle w:val="770"/>
        <w:jc w:val="center"/>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r>
      <w:r/>
    </w:p>
    <w:p>
      <w:pPr>
        <w:pStyle w:val="770"/>
        <w:ind w:right="422" w:firstLine="2249"/>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项目名称：盐城市“公共数据平台”数据安全 </w:t>
      </w:r>
      <w:r/>
    </w:p>
    <w:p>
      <w:pPr>
        <w:pStyle w:val="770"/>
        <w:ind w:right="422" w:firstLine="3855"/>
        <w:spacing w:line="360" w:lineRule="auto"/>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和治理应用功能模块建设升级项目</w:t>
      </w:r>
      <w:r/>
    </w:p>
    <w:p>
      <w:pPr>
        <w:pStyle w:val="770"/>
        <w:spacing w:line="360" w:lineRule="auto"/>
      </w:pPr>
      <w:r>
        <w:t xml:space="preserve"> </w:t>
      </w:r>
      <w:r/>
    </w:p>
    <w:p>
      <w:pPr>
        <w:pStyle w:val="770"/>
        <w:spacing w:line="360" w:lineRule="auto"/>
      </w:pPr>
      <w:r/>
      <w:r/>
    </w:p>
    <w:p>
      <w:pPr>
        <w:pStyle w:val="770"/>
        <w:jc w:val="center"/>
        <w:spacing w:line="400" w:lineRule="exact"/>
      </w:pPr>
      <w:r>
        <w:t xml:space="preserve"> </w:t>
      </w:r>
      <w:r/>
    </w:p>
    <w:p>
      <w:pPr>
        <w:pStyle w:val="770"/>
        <w:jc w:val="center"/>
        <w:spacing w:line="400" w:lineRule="exact"/>
        <w:rPr>
          <w:rFonts w:hint="default" w:ascii="黑体" w:hAnsi="黑体" w:eastAsia="黑体" w:cs="黑体"/>
          <w:bCs/>
          <w:lang w:val="en-US" w:eastAsia="zh-CN"/>
        </w:rPr>
      </w:pPr>
      <w:r>
        <w:rPr>
          <w:rFonts w:hint="eastAsia" w:ascii="黑体" w:hAnsi="黑体" w:eastAsia="黑体" w:cs="黑体"/>
          <w:bCs/>
          <w:lang w:val="en-US" w:eastAsia="zh-CN"/>
        </w:rPr>
        <w:t xml:space="preserve">盐城市大数据管理中心</w:t>
      </w:r>
      <w:r/>
    </w:p>
    <w:p>
      <w:pPr>
        <w:pStyle w:val="770"/>
        <w:jc w:val="center"/>
        <w:spacing w:line="400" w:lineRule="exact"/>
        <w:rPr>
          <w:rFonts w:hint="eastAsia" w:ascii="黑体" w:hAnsi="黑体" w:eastAsia="黑体" w:cs="黑体"/>
          <w:bCs/>
        </w:rPr>
      </w:pPr>
      <w:r>
        <w:rPr>
          <w:rFonts w:hint="eastAsia" w:ascii="黑体" w:hAnsi="黑体" w:eastAsia="黑体" w:cs="黑体"/>
          <w:bCs/>
          <w:lang w:val="en-US" w:eastAsia="zh-CN"/>
        </w:rPr>
        <w:t xml:space="preserve">2025</w:t>
      </w:r>
      <w:r>
        <w:rPr>
          <w:rFonts w:hint="eastAsia" w:ascii="黑体" w:hAnsi="黑体" w:eastAsia="黑体" w:cs="黑体"/>
          <w:bCs/>
        </w:rPr>
        <w:t xml:space="preserve">年</w:t>
      </w:r>
      <w:r>
        <w:rPr>
          <w:rFonts w:hint="eastAsia" w:ascii="黑体" w:hAnsi="黑体" w:eastAsia="黑体" w:cs="黑体"/>
          <w:bCs/>
          <w:lang w:val="en-US" w:eastAsia="zh-CN"/>
        </w:rPr>
        <w:t xml:space="preserve">11</w:t>
      </w:r>
      <w:r>
        <w:rPr>
          <w:rFonts w:hint="eastAsia" w:ascii="黑体" w:hAnsi="黑体" w:eastAsia="黑体" w:cs="黑体"/>
          <w:bCs/>
        </w:rPr>
        <w:t xml:space="preserve">月</w:t>
      </w:r>
      <w:r/>
    </w:p>
    <w:p>
      <w:pPr>
        <w:pStyle w:val="770"/>
        <w:jc w:val="center"/>
        <w:spacing w:line="360" w:lineRule="auto"/>
      </w:pPr>
      <w:r>
        <w:t xml:space="preserve"> </w:t>
      </w:r>
      <w:r/>
    </w:p>
    <w:p>
      <w:pPr>
        <w:pStyle w:val="770"/>
        <w:widowControl/>
        <w:rPr>
          <w:rFonts w:hint="eastAsia" w:asciiTheme="minorEastAsia" w:hAnsiTheme="minorEastAsia" w:eastAsiaTheme="minorEastAsia"/>
        </w:rPr>
      </w:pPr>
      <w:r>
        <w:rPr>
          <w:rFonts w:asciiTheme="minorEastAsia" w:hAnsiTheme="minorEastAsia" w:eastAsiaTheme="minorEastAsia"/>
        </w:rPr>
        <w:t xml:space="preserve">  </w:t>
      </w:r>
      <w:r/>
    </w:p>
    <w:p>
      <w:pPr>
        <w:jc w:val="center"/>
        <w:spacing w:line="700" w:lineRule="exact"/>
        <w:widowControl/>
        <w:rPr>
          <w:rFonts w:hint="eastAsia" w:asciiTheme="majorEastAsia" w:hAnsiTheme="majorEastAsia" w:eastAsiaTheme="majorEastAsia" w:cstheme="majorEastAsia"/>
          <w:sz w:val="44"/>
          <w:szCs w:val="20"/>
        </w:rPr>
        <w:pBdr>
          <w:top w:val="none" w:color="000000" w:sz="0" w:space="0"/>
          <w:left w:val="none" w:color="000000" w:sz="0" w:space="0"/>
          <w:bottom w:val="none" w:color="000000" w:sz="0" w:space="0"/>
          <w:right w:val="none" w:color="000000" w:sz="0" w:space="0"/>
        </w:pBdr>
      </w:pPr>
      <w:r>
        <w:rPr>
          <w:rFonts w:hint="eastAsia" w:asciiTheme="majorEastAsia" w:hAnsiTheme="majorEastAsia" w:eastAsiaTheme="majorEastAsia" w:cstheme="majorEastAsia"/>
          <w:sz w:val="44"/>
          <w:szCs w:val="20"/>
        </w:rPr>
      </w:r>
      <w:r/>
    </w:p>
    <w:p>
      <w:pPr>
        <w:jc w:val="center"/>
        <w:spacing w:line="700" w:lineRule="exact"/>
        <w:widowControl/>
        <w:rPr>
          <w:rFonts w:hint="eastAsia" w:asciiTheme="majorEastAsia" w:hAnsiTheme="majorEastAsia" w:eastAsiaTheme="majorEastAsia" w:cstheme="majorEastAsia"/>
          <w:sz w:val="44"/>
          <w:szCs w:val="44"/>
        </w:rPr>
        <w:pBdr>
          <w:top w:val="none" w:color="000000" w:sz="0" w:space="0"/>
          <w:left w:val="none" w:color="000000" w:sz="0" w:space="0"/>
          <w:bottom w:val="none" w:color="000000" w:sz="0" w:space="0"/>
          <w:right w:val="none" w:color="000000" w:sz="0" w:space="0"/>
        </w:pBdr>
      </w:pPr>
      <w:r>
        <w:rPr>
          <w:rFonts w:hint="eastAsia" w:asciiTheme="majorEastAsia" w:hAnsiTheme="majorEastAsia" w:eastAsiaTheme="majorEastAsia" w:cstheme="majorEastAsia"/>
          <w:sz w:val="44"/>
          <w:szCs w:val="44"/>
        </w:rPr>
      </w:r>
      <w:r/>
    </w:p>
    <w:p>
      <w:pPr>
        <w:jc w:val="center"/>
        <w:spacing w:line="700" w:lineRule="exact"/>
        <w:widowControl/>
        <w:rPr>
          <w:rFonts w:hint="eastAsia" w:asciiTheme="majorEastAsia" w:hAnsiTheme="majorEastAsia" w:eastAsiaTheme="majorEastAsia" w:cstheme="majorEastAsia"/>
          <w:sz w:val="44"/>
          <w:szCs w:val="44"/>
        </w:rPr>
        <w:pBdr>
          <w:top w:val="none" w:color="000000" w:sz="0" w:space="0"/>
          <w:left w:val="none" w:color="000000" w:sz="0" w:space="0"/>
          <w:bottom w:val="none" w:color="000000" w:sz="0" w:space="0"/>
          <w:right w:val="none" w:color="000000" w:sz="0" w:space="0"/>
        </w:pBdr>
        <w:outlineLvl w:val="0"/>
      </w:pPr>
      <w:r/>
      <w:bookmarkStart w:id="0" w:name="_Toc213751403"/>
      <w:r>
        <w:rPr>
          <w:rFonts w:hint="eastAsia" w:asciiTheme="majorEastAsia" w:hAnsiTheme="majorEastAsia" w:eastAsiaTheme="majorEastAsia" w:cstheme="majorEastAsia"/>
          <w:sz w:val="44"/>
          <w:szCs w:val="20"/>
        </w:rPr>
        <w:t xml:space="preserve">总  目  录</w:t>
      </w:r>
      <w:bookmarkEnd w:id="0"/>
      <w:r/>
      <w:r/>
    </w:p>
    <w:p>
      <w:pPr>
        <w:rPr>
          <w:b/>
          <w:sz w:val="28"/>
        </w:rPr>
        <w:pBdr>
          <w:top w:val="none" w:color="auto" w:sz="0" w:space="0"/>
          <w:left w:val="none" w:color="auto" w:sz="0" w:space="0"/>
          <w:bottom w:val="none" w:color="auto" w:sz="0" w:space="0"/>
          <w:right w:val="none" w:color="auto" w:sz="0" w:space="0"/>
          <w:between w:val="none" w:color="auto" w:sz="0" w:space="0"/>
        </w:pBdr>
      </w:pPr>
      <w:r>
        <w:rPr>
          <w:b/>
          <w:sz w:val="28"/>
        </w:rPr>
      </w:r>
      <w:r/>
    </w:p>
    <w:p>
      <w:pPr>
        <w:pStyle w:val="1009"/>
        <w:tabs>
          <w:tab w:val="left" w:pos="8944" w:leader="none"/>
        </w:tabs>
        <w:pBdr>
          <w:top w:val="none" w:color="auto" w:sz="0" w:space="0"/>
          <w:left w:val="none" w:color="auto" w:sz="0" w:space="0"/>
          <w:bottom w:val="none" w:color="auto" w:sz="0" w:space="0"/>
          <w:right w:val="none" w:color="auto" w:sz="0" w:space="0"/>
          <w:between w:val="none" w:color="auto" w:sz="0" w:space="0"/>
        </w:pBdr>
      </w:pPr>
      <w:r>
        <w:rPr>
          <w:rFonts w:hint="eastAsia" w:asciiTheme="minorHAnsi" w:hAnsiTheme="minorHAnsi" w:eastAsiaTheme="minorEastAsia" w:cstheme="minorBidi"/>
          <w:color w:val="auto"/>
          <w:sz w:val="21"/>
          <w:szCs w:val="24"/>
          <w:lang w:val="zh-CN"/>
        </w:rPr>
        <w:tab/>
      </w:r>
      <w:r/>
    </w:p>
    <w:p>
      <w:pPr>
        <w:pStyle w:val="760"/>
        <w:tabs>
          <w:tab w:val="right" w:pos="9628" w:leader="dot"/>
        </w:tabs>
        <w:rPr>
          <w:rFonts w:hint="default" w:asciiTheme="minorHAnsi" w:hAnsiTheme="minorHAnsi" w:eastAsiaTheme="minorEastAsia" w:cstheme="minorBidi"/>
          <w:caps w:val="0"/>
          <w:szCs w:val="28"/>
          <w14:ligatures w14:val="standardContextual"/>
        </w:rPr>
        <w:pBdr>
          <w:top w:val="none" w:color="auto" w:sz="0" w:space="0"/>
          <w:left w:val="none" w:color="auto" w:sz="0" w:space="0"/>
          <w:bottom w:val="none" w:color="auto" w:sz="0" w:space="0"/>
          <w:right w:val="none" w:color="auto" w:sz="0" w:space="0"/>
          <w:between w:val="none" w:color="auto" w:sz="0" w:space="0"/>
        </w:pBdr>
      </w:pPr>
      <w:r>
        <w:rPr>
          <w:rFonts w:hint="default"/>
        </w:rPr>
        <w:fldChar w:fldCharType="begin"/>
      </w:r>
      <w:r>
        <w:instrText xml:space="preserve"> TOC \o "1-1" \h \z \u </w:instrText>
      </w:r>
      <w:r>
        <w:rPr>
          <w:rFonts w:hint="default"/>
        </w:rPr>
        <w:fldChar w:fldCharType="separate"/>
      </w:r>
      <w:r>
        <w:fldChar w:fldCharType="begin"/>
      </w:r>
      <w:r>
        <w:instrText xml:space="preserve"> HYPERLINK \l "_Toc213751404" </w:instrText>
      </w:r>
      <w:r>
        <w:fldChar w:fldCharType="separate"/>
      </w:r>
      <w:r>
        <w:rPr>
          <w:rStyle w:val="777"/>
          <w:rFonts w:asciiTheme="majorEastAsia" w:hAnsiTheme="majorEastAsia" w:eastAsiaTheme="majorEastAsia" w:cstheme="majorEastAsia"/>
          <w:sz w:val="28"/>
          <w:szCs w:val="28"/>
        </w:rPr>
        <w:t xml:space="preserve">第一章  招标公告</w:t>
      </w:r>
      <w:r>
        <w:rPr>
          <w:sz w:val="28"/>
          <w:szCs w:val="28"/>
        </w:rPr>
        <w:tab/>
      </w:r>
      <w:r>
        <w:rPr>
          <w:sz w:val="28"/>
          <w:szCs w:val="28"/>
        </w:rPr>
        <w:fldChar w:fldCharType="begin"/>
      </w:r>
      <w:r>
        <w:rPr>
          <w:sz w:val="28"/>
          <w:szCs w:val="28"/>
        </w:rPr>
        <w:instrText xml:space="preserve"> PAGEREF _Toc213751404 \h </w:instrText>
      </w:r>
      <w:r>
        <w:rPr>
          <w:sz w:val="28"/>
          <w:szCs w:val="28"/>
        </w:rPr>
        <w:fldChar w:fldCharType="separate"/>
      </w:r>
      <w:r>
        <w:rPr>
          <w:sz w:val="28"/>
          <w:szCs w:val="28"/>
        </w:rPr>
        <w:t xml:space="preserve">1</w:t>
      </w:r>
      <w:r>
        <w:rPr>
          <w:sz w:val="28"/>
          <w:szCs w:val="28"/>
        </w:rPr>
        <w:fldChar w:fldCharType="end"/>
      </w:r>
      <w:r>
        <w:rPr>
          <w:sz w:val="28"/>
          <w:szCs w:val="28"/>
        </w:rPr>
        <w:fldChar w:fldCharType="end"/>
      </w:r>
      <w:r/>
    </w:p>
    <w:p>
      <w:pPr>
        <w:pStyle w:val="760"/>
        <w:tabs>
          <w:tab w:val="right" w:pos="9628" w:leader="dot"/>
        </w:tabs>
        <w:rPr>
          <w:rFonts w:hint="default" w:asciiTheme="minorHAnsi" w:hAnsiTheme="minorHAnsi" w:eastAsiaTheme="minorEastAsia" w:cstheme="minorBidi"/>
          <w:caps w:val="0"/>
          <w:szCs w:val="28"/>
          <w14:ligatures w14:val="standardContextual"/>
        </w:rPr>
        <w:pBdr>
          <w:top w:val="none" w:color="auto" w:sz="0" w:space="0"/>
          <w:left w:val="none" w:color="auto" w:sz="0" w:space="0"/>
          <w:bottom w:val="none" w:color="auto" w:sz="0" w:space="0"/>
          <w:right w:val="none" w:color="auto" w:sz="0" w:space="0"/>
          <w:between w:val="none" w:color="auto" w:sz="0" w:space="0"/>
        </w:pBdr>
      </w:pPr>
      <w:r>
        <w:fldChar w:fldCharType="begin"/>
      </w:r>
      <w:r>
        <w:instrText xml:space="preserve"> HYPERLINK \l "_Toc213751405" </w:instrText>
      </w:r>
      <w:r>
        <w:fldChar w:fldCharType="separate"/>
      </w:r>
      <w:r>
        <w:rPr>
          <w:rStyle w:val="777"/>
          <w:rFonts w:asciiTheme="majorEastAsia" w:hAnsiTheme="majorEastAsia" w:eastAsiaTheme="majorEastAsia" w:cstheme="majorEastAsia"/>
          <w:sz w:val="28"/>
          <w:szCs w:val="28"/>
        </w:rPr>
        <w:t xml:space="preserve">第二章  投标人须知</w:t>
      </w:r>
      <w:r>
        <w:rPr>
          <w:sz w:val="28"/>
          <w:szCs w:val="28"/>
        </w:rPr>
        <w:tab/>
      </w:r>
      <w:r>
        <w:rPr>
          <w:sz w:val="28"/>
          <w:szCs w:val="28"/>
        </w:rPr>
        <w:fldChar w:fldCharType="begin"/>
      </w:r>
      <w:r>
        <w:rPr>
          <w:sz w:val="28"/>
          <w:szCs w:val="28"/>
        </w:rPr>
        <w:instrText xml:space="preserve"> PAGEREF _Toc213751405 \h </w:instrText>
      </w:r>
      <w:r>
        <w:rPr>
          <w:sz w:val="28"/>
          <w:szCs w:val="28"/>
        </w:rPr>
        <w:fldChar w:fldCharType="separate"/>
      </w:r>
      <w:r>
        <w:rPr>
          <w:sz w:val="28"/>
          <w:szCs w:val="28"/>
        </w:rPr>
        <w:t xml:space="preserve">6</w:t>
      </w:r>
      <w:r>
        <w:rPr>
          <w:sz w:val="28"/>
          <w:szCs w:val="28"/>
        </w:rPr>
        <w:fldChar w:fldCharType="end"/>
      </w:r>
      <w:r>
        <w:rPr>
          <w:sz w:val="28"/>
          <w:szCs w:val="28"/>
        </w:rPr>
        <w:fldChar w:fldCharType="end"/>
      </w:r>
      <w:r/>
    </w:p>
    <w:p>
      <w:pPr>
        <w:pStyle w:val="760"/>
        <w:tabs>
          <w:tab w:val="right" w:pos="9628" w:leader="dot"/>
        </w:tabs>
        <w:rPr>
          <w:rFonts w:hint="default" w:asciiTheme="minorHAnsi" w:hAnsiTheme="minorHAnsi" w:eastAsiaTheme="minorEastAsia" w:cstheme="minorBidi"/>
          <w:caps w:val="0"/>
          <w:szCs w:val="28"/>
          <w14:ligatures w14:val="standardContextual"/>
        </w:rPr>
        <w:pBdr>
          <w:top w:val="none" w:color="auto" w:sz="0" w:space="0"/>
          <w:left w:val="none" w:color="auto" w:sz="0" w:space="0"/>
          <w:bottom w:val="none" w:color="auto" w:sz="0" w:space="0"/>
          <w:right w:val="none" w:color="auto" w:sz="0" w:space="0"/>
          <w:between w:val="none" w:color="auto" w:sz="0" w:space="0"/>
        </w:pBdr>
      </w:pPr>
      <w:r>
        <w:fldChar w:fldCharType="begin"/>
      </w:r>
      <w:r>
        <w:instrText xml:space="preserve"> HYPERLINK \l "_Toc213751406" </w:instrText>
      </w:r>
      <w:r>
        <w:fldChar w:fldCharType="separate"/>
      </w:r>
      <w:r>
        <w:rPr>
          <w:rStyle w:val="777"/>
          <w:rFonts w:ascii="黑体" w:hAnsi="黑体" w:eastAsia="黑体" w:cs="黑体"/>
          <w:sz w:val="28"/>
          <w:szCs w:val="28"/>
        </w:rPr>
        <w:t xml:space="preserve">第三章  合同文本</w:t>
      </w:r>
      <w:r>
        <w:rPr>
          <w:sz w:val="28"/>
          <w:szCs w:val="28"/>
        </w:rPr>
        <w:tab/>
      </w:r>
      <w:r>
        <w:rPr>
          <w:sz w:val="28"/>
          <w:szCs w:val="28"/>
        </w:rPr>
        <w:fldChar w:fldCharType="begin"/>
      </w:r>
      <w:r>
        <w:rPr>
          <w:sz w:val="28"/>
          <w:szCs w:val="28"/>
        </w:rPr>
        <w:instrText xml:space="preserve"> PAGEREF _Toc213751406 \h </w:instrText>
      </w:r>
      <w:r>
        <w:rPr>
          <w:sz w:val="28"/>
          <w:szCs w:val="28"/>
        </w:rPr>
        <w:fldChar w:fldCharType="separate"/>
      </w:r>
      <w:r>
        <w:rPr>
          <w:sz w:val="28"/>
          <w:szCs w:val="28"/>
        </w:rPr>
        <w:t xml:space="preserve">24</w:t>
      </w:r>
      <w:r>
        <w:rPr>
          <w:sz w:val="28"/>
          <w:szCs w:val="28"/>
        </w:rPr>
        <w:fldChar w:fldCharType="end"/>
      </w:r>
      <w:r>
        <w:rPr>
          <w:sz w:val="28"/>
          <w:szCs w:val="28"/>
        </w:rPr>
        <w:fldChar w:fldCharType="end"/>
      </w:r>
      <w:r/>
    </w:p>
    <w:p>
      <w:pPr>
        <w:pStyle w:val="760"/>
        <w:tabs>
          <w:tab w:val="right" w:pos="9628" w:leader="dot"/>
        </w:tabs>
        <w:rPr>
          <w:rFonts w:hint="default" w:asciiTheme="minorHAnsi" w:hAnsiTheme="minorHAnsi" w:eastAsiaTheme="minorEastAsia" w:cstheme="minorBidi"/>
          <w:caps w:val="0"/>
          <w:szCs w:val="28"/>
          <w14:ligatures w14:val="standardContextual"/>
        </w:rPr>
        <w:pBdr>
          <w:top w:val="none" w:color="auto" w:sz="0" w:space="0"/>
          <w:left w:val="none" w:color="auto" w:sz="0" w:space="0"/>
          <w:bottom w:val="none" w:color="auto" w:sz="0" w:space="0"/>
          <w:right w:val="none" w:color="auto" w:sz="0" w:space="0"/>
          <w:between w:val="none" w:color="auto" w:sz="0" w:space="0"/>
        </w:pBdr>
      </w:pPr>
      <w:r>
        <w:fldChar w:fldCharType="begin"/>
      </w:r>
      <w:r>
        <w:instrText xml:space="preserve"> HYPERLINK \l "_Toc213751407" </w:instrText>
      </w:r>
      <w:r>
        <w:fldChar w:fldCharType="separate"/>
      </w:r>
      <w:r>
        <w:rPr>
          <w:rStyle w:val="777"/>
          <w:rFonts w:ascii="黑体" w:hAnsi="黑体" w:eastAsia="黑体" w:cs="黑体"/>
          <w:sz w:val="28"/>
          <w:szCs w:val="28"/>
        </w:rPr>
        <w:t xml:space="preserve">第四章  采购需求</w:t>
      </w:r>
      <w:r>
        <w:rPr>
          <w:sz w:val="28"/>
          <w:szCs w:val="28"/>
        </w:rPr>
        <w:tab/>
      </w:r>
      <w:r>
        <w:rPr>
          <w:sz w:val="28"/>
          <w:szCs w:val="28"/>
        </w:rPr>
        <w:fldChar w:fldCharType="begin"/>
      </w:r>
      <w:r>
        <w:rPr>
          <w:sz w:val="28"/>
          <w:szCs w:val="28"/>
        </w:rPr>
        <w:instrText xml:space="preserve"> PAGEREF _Toc213751407 \h </w:instrText>
      </w:r>
      <w:r>
        <w:rPr>
          <w:sz w:val="28"/>
          <w:szCs w:val="28"/>
        </w:rPr>
        <w:fldChar w:fldCharType="separate"/>
      </w:r>
      <w:r>
        <w:rPr>
          <w:sz w:val="28"/>
          <w:szCs w:val="28"/>
        </w:rPr>
        <w:t xml:space="preserve">33</w:t>
      </w:r>
      <w:r>
        <w:rPr>
          <w:sz w:val="28"/>
          <w:szCs w:val="28"/>
        </w:rPr>
        <w:fldChar w:fldCharType="end"/>
      </w:r>
      <w:r>
        <w:rPr>
          <w:sz w:val="28"/>
          <w:szCs w:val="28"/>
        </w:rPr>
        <w:fldChar w:fldCharType="end"/>
      </w:r>
      <w:r/>
    </w:p>
    <w:p>
      <w:pPr>
        <w:pStyle w:val="760"/>
        <w:tabs>
          <w:tab w:val="right" w:pos="9628" w:leader="dot"/>
        </w:tabs>
        <w:rPr>
          <w:rFonts w:hint="default" w:asciiTheme="minorHAnsi" w:hAnsiTheme="minorHAnsi" w:eastAsiaTheme="minorEastAsia" w:cstheme="minorBidi"/>
          <w:caps w:val="0"/>
          <w:szCs w:val="28"/>
          <w14:ligatures w14:val="standardContextual"/>
        </w:rPr>
        <w:pBdr>
          <w:top w:val="none" w:color="auto" w:sz="0" w:space="0"/>
          <w:left w:val="none" w:color="auto" w:sz="0" w:space="0"/>
          <w:bottom w:val="none" w:color="auto" w:sz="0" w:space="0"/>
          <w:right w:val="none" w:color="auto" w:sz="0" w:space="0"/>
          <w:between w:val="none" w:color="auto" w:sz="0" w:space="0"/>
        </w:pBdr>
      </w:pPr>
      <w:r>
        <w:fldChar w:fldCharType="begin"/>
      </w:r>
      <w:r>
        <w:instrText xml:space="preserve"> HYPERLINK \l "_Toc213751408" </w:instrText>
      </w:r>
      <w:r>
        <w:fldChar w:fldCharType="separate"/>
      </w:r>
      <w:r>
        <w:rPr>
          <w:rStyle w:val="777"/>
          <w:rFonts w:ascii="黑体" w:hAnsi="黑体" w:eastAsia="黑体" w:cs="黑体"/>
          <w:sz w:val="28"/>
          <w:szCs w:val="28"/>
        </w:rPr>
        <w:t xml:space="preserve">第五章  评标方法与评标标准</w:t>
      </w:r>
      <w:r>
        <w:rPr>
          <w:sz w:val="28"/>
          <w:szCs w:val="28"/>
        </w:rPr>
        <w:tab/>
      </w:r>
      <w:r>
        <w:rPr>
          <w:sz w:val="28"/>
          <w:szCs w:val="28"/>
        </w:rPr>
        <w:fldChar w:fldCharType="begin"/>
      </w:r>
      <w:r>
        <w:rPr>
          <w:sz w:val="28"/>
          <w:szCs w:val="28"/>
        </w:rPr>
        <w:instrText xml:space="preserve"> PAGEREF _Toc213751408 \h </w:instrText>
      </w:r>
      <w:r>
        <w:rPr>
          <w:sz w:val="28"/>
          <w:szCs w:val="28"/>
        </w:rPr>
        <w:fldChar w:fldCharType="separate"/>
      </w:r>
      <w:r>
        <w:rPr>
          <w:sz w:val="28"/>
          <w:szCs w:val="28"/>
        </w:rPr>
        <w:t xml:space="preserve">123</w:t>
      </w:r>
      <w:r>
        <w:rPr>
          <w:sz w:val="28"/>
          <w:szCs w:val="28"/>
        </w:rPr>
        <w:fldChar w:fldCharType="end"/>
      </w:r>
      <w:r>
        <w:rPr>
          <w:sz w:val="28"/>
          <w:szCs w:val="28"/>
        </w:rPr>
        <w:fldChar w:fldCharType="end"/>
      </w:r>
      <w:r/>
    </w:p>
    <w:p>
      <w:pPr>
        <w:pStyle w:val="760"/>
        <w:tabs>
          <w:tab w:val="right" w:pos="9628" w:leader="dot"/>
        </w:tabs>
        <w:rPr>
          <w:rFonts w:hint="default" w:asciiTheme="minorHAnsi" w:hAnsiTheme="minorHAnsi" w:eastAsiaTheme="minorEastAsia" w:cstheme="minorBidi"/>
          <w:caps w:val="0"/>
          <w:sz w:val="22"/>
          <w14:ligatures w14:val="standardContextual"/>
        </w:rPr>
        <w:pBdr>
          <w:top w:val="none" w:color="auto" w:sz="0" w:space="0"/>
          <w:left w:val="none" w:color="auto" w:sz="0" w:space="0"/>
          <w:bottom w:val="none" w:color="auto" w:sz="0" w:space="0"/>
          <w:right w:val="none" w:color="auto" w:sz="0" w:space="0"/>
          <w:between w:val="none" w:color="auto" w:sz="0" w:space="0"/>
        </w:pBdr>
      </w:pPr>
      <w:r>
        <w:fldChar w:fldCharType="begin"/>
      </w:r>
      <w:r>
        <w:instrText xml:space="preserve"> HYPERLINK \l "_Toc213751409" </w:instrText>
      </w:r>
      <w:r>
        <w:fldChar w:fldCharType="separate"/>
      </w:r>
      <w:r>
        <w:rPr>
          <w:rStyle w:val="777"/>
          <w:rFonts w:ascii="黑体" w:hAnsi="黑体" w:eastAsia="黑体" w:cs="黑体"/>
          <w:sz w:val="28"/>
          <w:szCs w:val="28"/>
        </w:rPr>
        <w:t xml:space="preserve">第六章  投标文件格式</w:t>
      </w:r>
      <w:r>
        <w:rPr>
          <w:sz w:val="28"/>
          <w:szCs w:val="28"/>
        </w:rPr>
        <w:tab/>
      </w:r>
      <w:r>
        <w:rPr>
          <w:sz w:val="28"/>
          <w:szCs w:val="28"/>
        </w:rPr>
        <w:fldChar w:fldCharType="begin"/>
      </w:r>
      <w:r>
        <w:rPr>
          <w:sz w:val="28"/>
          <w:szCs w:val="28"/>
        </w:rPr>
        <w:instrText xml:space="preserve"> PAGEREF _Toc213751409 \h </w:instrText>
      </w:r>
      <w:r>
        <w:rPr>
          <w:sz w:val="28"/>
          <w:szCs w:val="28"/>
        </w:rPr>
        <w:fldChar w:fldCharType="separate"/>
      </w:r>
      <w:r>
        <w:rPr>
          <w:sz w:val="28"/>
          <w:szCs w:val="28"/>
        </w:rPr>
        <w:t xml:space="preserve">141</w:t>
      </w:r>
      <w:r>
        <w:rPr>
          <w:sz w:val="28"/>
          <w:szCs w:val="28"/>
        </w:rPr>
        <w:fldChar w:fldCharType="end"/>
      </w:r>
      <w:r>
        <w:rPr>
          <w:sz w:val="28"/>
          <w:szCs w:val="28"/>
        </w:rPr>
        <w:fldChar w:fldCharType="end"/>
      </w:r>
      <w:r/>
    </w:p>
    <w:p>
      <w:pPr>
        <w:pBdr>
          <w:top w:val="none" w:color="auto" w:sz="0" w:space="0"/>
          <w:left w:val="none" w:color="auto" w:sz="0" w:space="0"/>
          <w:bottom w:val="none" w:color="auto" w:sz="0" w:space="0"/>
          <w:right w:val="none" w:color="auto" w:sz="0" w:space="0"/>
          <w:between w:val="none" w:color="auto" w:sz="0" w:space="0"/>
        </w:pBdr>
      </w:pPr>
      <w:r>
        <w:fldChar w:fldCharType="end"/>
      </w:r>
      <w:r/>
    </w:p>
    <w:p>
      <w:pPr>
        <w:pStyle w:val="770"/>
        <w:jc w:val="both"/>
      </w:pPr>
      <w:r/>
      <w:r/>
    </w:p>
    <w:p>
      <w:pPr>
        <w:jc w:val="center"/>
        <w:spacing w:line="700" w:lineRule="exact"/>
        <w:widowControl/>
        <w:rPr>
          <w:rFonts w:hint="eastAsia" w:asciiTheme="majorEastAsia" w:hAnsiTheme="majorEastAsia" w:eastAsiaTheme="majorEastAsia" w:cstheme="majorEastAsia"/>
          <w:sz w:val="44"/>
          <w:szCs w:val="20"/>
        </w:rPr>
        <w:pBdr>
          <w:top w:val="none" w:color="000000" w:sz="0" w:space="0"/>
          <w:left w:val="none" w:color="000000" w:sz="0" w:space="0"/>
          <w:bottom w:val="none" w:color="000000" w:sz="0" w:space="0"/>
          <w:right w:val="none" w:color="000000" w:sz="0" w:space="0"/>
        </w:pBdr>
        <w:sectPr>
          <w:headerReference w:type="default" r:id="rId9"/>
          <w:headerReference w:type="first" r:id="rId10"/>
          <w:footnotePr/>
          <w:endnotePr/>
          <w:type w:val="nextPage"/>
          <w:pgSz w:w="11906" w:h="16838" w:orient="portrait"/>
          <w:pgMar w:top="1134" w:right="1134" w:bottom="1134" w:left="1134" w:header="737" w:footer="1134" w:gutter="0"/>
          <w:pgNumType w:start="1"/>
          <w:cols w:num="1" w:sep="0" w:space="425" w:equalWidth="1"/>
          <w:docGrid w:linePitch="360"/>
          <w:titlePg/>
        </w:sectPr>
      </w:pPr>
      <w:r/>
      <w:bookmarkStart w:id="1" w:name="_Toc203060312"/>
      <w:r/>
      <w:r/>
    </w:p>
    <w:p>
      <w:pPr>
        <w:jc w:val="center"/>
        <w:spacing w:line="700" w:lineRule="exact"/>
        <w:widowControl/>
        <w:rPr>
          <w:rFonts w:hint="eastAsia" w:asciiTheme="majorEastAsia" w:hAnsiTheme="majorEastAsia" w:eastAsiaTheme="majorEastAsia" w:cstheme="majorEastAsia"/>
          <w:sz w:val="44"/>
          <w:szCs w:val="20"/>
        </w:rPr>
        <w:pBdr>
          <w:top w:val="none" w:color="000000" w:sz="0" w:space="0"/>
          <w:left w:val="none" w:color="000000" w:sz="0" w:space="0"/>
          <w:bottom w:val="none" w:color="000000" w:sz="0" w:space="0"/>
          <w:right w:val="none" w:color="000000" w:sz="0" w:space="0"/>
        </w:pBdr>
        <w:outlineLvl w:val="0"/>
      </w:pPr>
      <w:r/>
      <w:bookmarkStart w:id="2" w:name="_Toc213751404"/>
      <w:r>
        <w:rPr>
          <w:rFonts w:hint="eastAsia" w:asciiTheme="majorEastAsia" w:hAnsiTheme="majorEastAsia" w:eastAsiaTheme="majorEastAsia" w:cstheme="majorEastAsia"/>
          <w:sz w:val="44"/>
          <w:szCs w:val="20"/>
        </w:rPr>
        <w:t xml:space="preserve">第一章  招标公告</w:t>
      </w:r>
      <w:bookmarkEnd w:id="2"/>
      <w:r/>
      <w:r/>
    </w:p>
    <w:p>
      <w:pPr>
        <w:spacing w:line="200" w:lineRule="exact"/>
        <w:widowControl/>
        <w:rPr>
          <w:rFonts w:hint="eastAsia" w:ascii="黑体" w:hAnsi="宋体" w:eastAsia="黑体" w:cs="黑体"/>
          <w:sz w:val="44"/>
          <w:szCs w:val="44"/>
        </w:rPr>
      </w:pPr>
      <w:r>
        <w:rPr>
          <w:rFonts w:hint="eastAsia" w:ascii="黑体" w:hAnsi="宋体" w:eastAsia="黑体" w:cs="黑体"/>
          <w:sz w:val="44"/>
          <w:szCs w:val="44"/>
        </w:rPr>
      </w:r>
      <w:r/>
    </w:p>
    <w:p>
      <w:pPr>
        <w:ind w:firstLine="480"/>
        <w:jc w:val="left"/>
        <w:spacing w:line="560" w:lineRule="exact"/>
        <w:widowControl/>
        <w:rPr>
          <w:rFonts w:hint="eastAsia" w:ascii="宋体" w:hAnsi="宋体" w:eastAsia="宋体" w:cs="宋体"/>
          <w:sz w:val="24"/>
          <w:szCs w:val="20"/>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0"/>
        </w:rPr>
        <w:t xml:space="preserve">项目概况</w:t>
      </w:r>
      <w:r/>
    </w:p>
    <w:p>
      <w:pPr>
        <w:ind w:firstLine="480"/>
        <w:jc w:val="left"/>
        <w:spacing w:line="560" w:lineRule="exact"/>
        <w:widowControl/>
        <w:rPr>
          <w:rFonts w:hint="eastAsia" w:ascii="宋体" w:hAnsi="宋体" w:eastAsia="宋体" w:cs="宋体"/>
          <w:sz w:val="24"/>
          <w:szCs w:val="20"/>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0"/>
        </w:rPr>
        <w:t xml:space="preserve">盐城市“公共数据平台”数据安全和治理应用功能模块建设升级项目</w:t>
      </w:r>
      <w:r>
        <w:rPr>
          <w:rFonts w:hint="eastAsia" w:ascii="宋体" w:hAnsi="宋体" w:eastAsia="宋体" w:cs="宋体"/>
          <w:sz w:val="24"/>
          <w:szCs w:val="24"/>
        </w:rPr>
        <w:t xml:space="preserve">JSZC-320900-JZCG-G2025-0068</w:t>
      </w:r>
      <w:r>
        <w:rPr>
          <w:rFonts w:hint="eastAsia" w:ascii="宋体" w:hAnsi="宋体" w:eastAsia="宋体" w:cs="宋体"/>
          <w:sz w:val="24"/>
          <w:szCs w:val="20"/>
        </w:rPr>
        <w:t xml:space="preserve">的潜在投标人应在“苏采云”系统内免费下载（投标人必须在苏采云系统中获取采购文件，方能参与政府采购项目），</w:t>
      </w:r>
      <w:r>
        <w:rPr>
          <w:rFonts w:hint="eastAsia" w:ascii="宋体" w:hAnsi="宋体" w:eastAsia="宋体" w:cs="宋体"/>
          <w:color w:val="000000" w:themeColor="text1"/>
          <w:sz w:val="24"/>
          <w:szCs w:val="20"/>
        </w:rPr>
        <w:t xml:space="preserve">并于2025年12月17日09点30分</w:t>
      </w:r>
      <w:r>
        <w:rPr>
          <w:rFonts w:hint="eastAsia" w:ascii="宋体" w:hAnsi="宋体" w:eastAsia="宋体" w:cs="宋体"/>
          <w:sz w:val="24"/>
          <w:szCs w:val="20"/>
        </w:rPr>
        <w:t xml:space="preserve">（北京时间）前递交投标文件。</w:t>
      </w:r>
      <w:bookmarkEnd w:id="1"/>
      <w:r/>
      <w:r/>
    </w:p>
    <w:p>
      <w:pPr>
        <w:ind w:firstLine="482"/>
        <w:jc w:val="left"/>
        <w:spacing w:line="560" w:lineRule="exact"/>
        <w:widowControl/>
        <w:rPr>
          <w:rFonts w:hint="eastAsia" w:ascii="宋体" w:hAnsi="宋体" w:eastAsia="宋体" w:cs="宋体"/>
          <w:b/>
          <w:bCs/>
          <w:sz w:val="24"/>
          <w:szCs w:val="20"/>
        </w:rPr>
        <w:outlineLvl w:val="1"/>
      </w:pPr>
      <w:r/>
      <w:bookmarkStart w:id="3" w:name="_Toc35393790"/>
      <w:r/>
      <w:bookmarkStart w:id="4" w:name="_Toc28359079"/>
      <w:r/>
      <w:bookmarkStart w:id="5" w:name="_Toc28359002"/>
      <w:r/>
      <w:bookmarkStart w:id="6" w:name="_Toc38985263"/>
      <w:r/>
      <w:bookmarkStart w:id="7" w:name="_Hlk24379207"/>
      <w:r/>
      <w:bookmarkStart w:id="8" w:name="_Toc35393621"/>
      <w:r/>
      <w:bookmarkStart w:id="9" w:name="_Toc28359086"/>
      <w:r>
        <w:rPr>
          <w:rFonts w:hint="eastAsia" w:ascii="宋体" w:hAnsi="宋体" w:eastAsia="宋体" w:cs="宋体"/>
          <w:b/>
          <w:bCs/>
          <w:sz w:val="24"/>
          <w:szCs w:val="20"/>
        </w:rPr>
        <w:t xml:space="preserve">一、项目基本情况</w:t>
      </w:r>
      <w:bookmarkEnd w:id="3"/>
      <w:r/>
      <w:bookmarkEnd w:id="4"/>
      <w:r/>
      <w:bookmarkEnd w:id="5"/>
      <w:r/>
      <w:bookmarkEnd w:id="6"/>
      <w:r/>
      <w:bookmarkEnd w:id="7"/>
      <w:r/>
      <w:bookmarkEnd w:id="8"/>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1.项目编号：</w:t>
      </w:r>
      <w:r>
        <w:rPr>
          <w:rFonts w:ascii="Arial" w:hAnsi="Arial" w:eastAsia="Arial" w:cs="Arial"/>
          <w:color w:val="000000"/>
          <w:sz w:val="21"/>
          <w:highlight w:val="white"/>
        </w:rPr>
        <w:t xml:space="preserve">JSZC-320900-JZCG-G2025-0068</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w:t>
      </w:r>
      <w:bookmarkStart w:id="10" w:name="OLE_LINK3"/>
      <w:r/>
      <w:bookmarkStart w:id="11" w:name="OLE_LINK4"/>
      <w:r>
        <w:rPr>
          <w:rFonts w:hint="eastAsia" w:ascii="宋体" w:hAnsi="宋体" w:eastAsia="宋体" w:cs="宋体"/>
          <w:sz w:val="24"/>
          <w:szCs w:val="20"/>
        </w:rPr>
        <w:t xml:space="preserve">项目名称：盐城市“公共数据平台”数据安全和治理应用功能模块建设升级项目</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3.</w:t>
      </w:r>
      <w:r>
        <w:rPr>
          <w:rFonts w:hint="eastAsia" w:ascii="宋体" w:hAnsi="宋体" w:eastAsia="宋体" w:cs="宋体"/>
          <w:sz w:val="24"/>
          <w:szCs w:val="20"/>
          <w:lang w:eastAsia="zh-CN"/>
        </w:rPr>
        <w:t xml:space="preserve">采购方</w:t>
      </w:r>
      <w:r>
        <w:rPr>
          <w:rFonts w:hint="eastAsia" w:ascii="宋体" w:hAnsi="宋体" w:eastAsia="宋体" w:cs="宋体"/>
          <w:sz w:val="24"/>
          <w:szCs w:val="20"/>
        </w:rPr>
        <w:t xml:space="preserve">式：公开招标</w:t>
      </w:r>
      <w:r/>
    </w:p>
    <w:p>
      <w:pPr>
        <w:ind w:firstLine="482"/>
        <w:jc w:val="left"/>
        <w:spacing w:line="560" w:lineRule="exact"/>
        <w:widowControl/>
        <w:rPr>
          <w:rFonts w:hint="eastAsia" w:ascii="宋体" w:hAnsi="宋体" w:eastAsia="宋体" w:cs="宋体"/>
          <w:sz w:val="24"/>
          <w:szCs w:val="20"/>
        </w:rPr>
      </w:pPr>
      <w:r/>
      <w:bookmarkStart w:id="12" w:name="OLE_LINK7"/>
      <w:r>
        <w:rPr>
          <w:rFonts w:hint="eastAsia" w:ascii="宋体" w:hAnsi="宋体" w:eastAsia="宋体" w:cs="宋体"/>
          <w:sz w:val="24"/>
          <w:szCs w:val="20"/>
        </w:rPr>
        <w:t xml:space="preserve">4.预算金额：分包一：公共数据平台优化升级及数据治理应用项目，预算金额592.99万元；分包二：公共数据安全防护项目，预算金额167.2万元；分包三：全过程项目咨询和管理服务，预算金额：23.00万元；分包四：商用密码应用测评服务，预算金额：10万元；分包五：软件测评服务，预算金额：5万元。</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5.最高限价：</w:t>
      </w:r>
      <w:bookmarkEnd w:id="10"/>
      <w:r/>
      <w:bookmarkEnd w:id="11"/>
      <w:r/>
      <w:bookmarkEnd w:id="12"/>
      <w:r>
        <w:rPr>
          <w:rFonts w:hint="eastAsia" w:ascii="宋体" w:hAnsi="宋体" w:eastAsia="宋体" w:cs="宋体"/>
          <w:sz w:val="24"/>
          <w:szCs w:val="20"/>
        </w:rPr>
        <w:t xml:space="preserve">分包一：公共数据平台优化升级及数据治理应用，最高限价592.99万元；分包二：公共数据安全防护项目，最高限价167.2万元；分包三：全过程项目咨询和管理服务，最高限价：23.00万元；分包四：商用密码应用测评服务，最高限价：10万元；分包五：软件测评服务，最高限价：5万元。</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6.采购需求：</w:t>
      </w:r>
      <w:bookmarkStart w:id="13" w:name="OLE_LINK1"/>
      <w:r/>
      <w:bookmarkStart w:id="14" w:name="OLE_LINK2"/>
      <w:r>
        <w:rPr>
          <w:rFonts w:hint="eastAsia" w:ascii="宋体" w:hAnsi="宋体" w:eastAsia="宋体" w:cs="宋体"/>
          <w:sz w:val="24"/>
          <w:szCs w:val="20"/>
        </w:rPr>
        <w:t xml:space="preserve">盐城市“公共数据平台”数据安全和治理应用功能模块建设升级，</w:t>
      </w:r>
      <w:r>
        <w:rPr>
          <w:rFonts w:hint="eastAsia" w:ascii="宋体" w:hAnsi="宋体" w:eastAsia="宋体" w:cs="宋体"/>
          <w:sz w:val="24"/>
          <w:szCs w:val="20"/>
          <w:lang w:val="en-US" w:eastAsia="zh-CN"/>
        </w:rPr>
        <w:t xml:space="preserve">所有分包兼投不兼中。</w:t>
      </w:r>
      <w:r>
        <w:rPr>
          <w:rFonts w:hint="eastAsia" w:ascii="宋体" w:hAnsi="宋体" w:eastAsia="宋体" w:cs="宋体"/>
          <w:sz w:val="24"/>
          <w:szCs w:val="20"/>
        </w:rPr>
        <w:t xml:space="preserve">具体详见第四章采购需求。</w:t>
      </w:r>
      <w:bookmarkEnd w:id="13"/>
      <w:r/>
      <w:bookmarkEnd w:id="14"/>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7</w:t>
      </w:r>
      <w:bookmarkStart w:id="15" w:name="OLE_LINK20"/>
      <w:r/>
      <w:bookmarkStart w:id="16" w:name="OLE_LINK25"/>
      <w:r>
        <w:rPr>
          <w:rFonts w:hint="eastAsia" w:ascii="宋体" w:hAnsi="宋体" w:eastAsia="宋体" w:cs="宋体"/>
          <w:sz w:val="24"/>
          <w:szCs w:val="20"/>
        </w:rPr>
        <w:t xml:space="preserve">.</w:t>
      </w:r>
      <w:bookmarkEnd w:id="15"/>
      <w:r/>
      <w:bookmarkEnd w:id="16"/>
      <w:r>
        <w:rPr>
          <w:rFonts w:hint="eastAsia" w:ascii="宋体" w:hAnsi="宋体" w:eastAsia="宋体" w:cs="宋体"/>
          <w:sz w:val="24"/>
          <w:szCs w:val="20"/>
        </w:rPr>
        <w:t xml:space="preserve">合同履行期限：详见各分包采购需求。</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8.本项目（是/否）接受联合体投标：否。</w:t>
      </w:r>
      <w:r/>
    </w:p>
    <w:p>
      <w:pPr>
        <w:ind w:firstLine="482"/>
        <w:jc w:val="left"/>
        <w:spacing w:line="560" w:lineRule="exact"/>
        <w:widowControl/>
        <w:rPr>
          <w:rFonts w:hint="eastAsia" w:ascii="宋体" w:hAnsi="宋体" w:eastAsia="宋体" w:cs="宋体"/>
          <w:b/>
          <w:bCs/>
          <w:sz w:val="24"/>
          <w:szCs w:val="20"/>
        </w:rPr>
        <w:outlineLvl w:val="1"/>
      </w:pPr>
      <w:r>
        <w:rPr>
          <w:rFonts w:hint="eastAsia" w:ascii="宋体" w:hAnsi="宋体" w:eastAsia="宋体" w:cs="宋体"/>
          <w:b/>
          <w:bCs/>
          <w:sz w:val="24"/>
          <w:szCs w:val="20"/>
        </w:rPr>
        <w:t xml:space="preserve">二、申请人的资格要求</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1.满足《中华人民共和国政府采购法》第二十二条规定，并提供下列材料：</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1.1法人或者其他组织的营业执照等证明文件，自然人的身份证明；</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1.2上一年度的财务状况报告（成立不满一年无需提供）；</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1.3具备履行合同所必需的设备和专业技术能力的书面声明；</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1.4依法缴纳税收和社会保障资金的相关材料（提供提交投标文件截止时间前一年内至少一个月依法缴纳税收及缴纳社会保障资金的证明材料。</w:t>
      </w:r>
      <w:r>
        <w:rPr>
          <w:rFonts w:hint="eastAsia" w:ascii="宋体" w:hAnsi="宋体" w:cs="宋体"/>
          <w:sz w:val="24"/>
          <w:szCs w:val="20"/>
          <w:lang w:eastAsia="zh-CN"/>
        </w:rPr>
        <w:t xml:space="preserve">投标人</w:t>
      </w:r>
      <w:r>
        <w:rPr>
          <w:rFonts w:hint="eastAsia" w:ascii="宋体" w:hAnsi="宋体" w:cs="宋体"/>
          <w:sz w:val="24"/>
          <w:szCs w:val="20"/>
        </w:rPr>
        <w:t xml:space="preserve">依法享受缓缴、免缴税收、社会保障资金的提供证明材料。）；</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1.5参加政府采购活动前3年内在经营活动中没有重大违法记录的书面声明。</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1.6法律、行政法规规定的其他条件。</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投标文件无需提供证明材料）</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1.8单位负责人为同一人或者存在直接控股、管理关系的不同</w:t>
      </w:r>
      <w:r>
        <w:rPr>
          <w:rFonts w:hint="eastAsia" w:ascii="宋体" w:hAnsi="宋体" w:cs="宋体"/>
          <w:sz w:val="24"/>
          <w:szCs w:val="20"/>
          <w:lang w:eastAsia="zh-CN"/>
        </w:rPr>
        <w:t xml:space="preserve">投标人</w:t>
      </w:r>
      <w:r>
        <w:rPr>
          <w:rFonts w:hint="eastAsia" w:ascii="宋体" w:hAnsi="宋体" w:cs="宋体"/>
          <w:sz w:val="24"/>
          <w:szCs w:val="20"/>
        </w:rPr>
        <w:t xml:space="preserve">，不得参加同一合同项下的政府采购活动。</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2.落实政府采购政策需满足的资格要求：无</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3.本项目的特定资格要求： 无</w:t>
      </w:r>
      <w:r/>
    </w:p>
    <w:p>
      <w:pPr>
        <w:ind w:firstLine="480"/>
        <w:jc w:val="left"/>
        <w:spacing w:line="560" w:lineRule="exact"/>
        <w:widowControl/>
        <w:rPr>
          <w:rFonts w:hint="eastAsia" w:ascii="宋体" w:hAnsi="宋体" w:eastAsia="宋体" w:cs="宋体"/>
          <w:b/>
          <w:bCs/>
          <w:sz w:val="24"/>
          <w:szCs w:val="20"/>
        </w:rPr>
        <w:outlineLvl w:val="1"/>
      </w:pPr>
      <w:r>
        <w:rPr>
          <w:rFonts w:hint="eastAsia" w:ascii="宋体" w:hAnsi="宋体" w:eastAsia="宋体" w:cs="宋体"/>
          <w:b/>
          <w:bCs/>
          <w:sz w:val="24"/>
          <w:szCs w:val="20"/>
        </w:rPr>
        <w:t xml:space="preserve">三、获取招标文件</w:t>
      </w:r>
      <w:r/>
    </w:p>
    <w:p>
      <w:pPr>
        <w:ind w:firstLine="482"/>
        <w:jc w:val="left"/>
        <w:spacing w:line="560" w:lineRule="exact"/>
        <w:widowControl/>
        <w:rPr>
          <w:rFonts w:hint="eastAsia" w:ascii="宋体" w:hAnsi="宋体" w:cs="宋体"/>
          <w:sz w:val="24"/>
          <w:szCs w:val="20"/>
        </w:rPr>
      </w:pPr>
      <w:r/>
      <w:bookmarkStart w:id="17" w:name="_Toc28359082"/>
      <w:r/>
      <w:bookmarkStart w:id="18" w:name="_Toc28359005"/>
      <w:r/>
      <w:bookmarkStart w:id="19" w:name="_Toc35393624"/>
      <w:r/>
      <w:bookmarkStart w:id="20" w:name="_Toc35393793"/>
      <w:r/>
      <w:bookmarkStart w:id="21" w:name="_Toc38985266"/>
      <w:r>
        <w:rPr>
          <w:rFonts w:hint="eastAsia" w:ascii="宋体" w:hAnsi="宋体" w:cs="宋体"/>
          <w:sz w:val="24"/>
          <w:szCs w:val="20"/>
        </w:rPr>
        <w:t xml:space="preserve">1.时间：</w:t>
      </w:r>
      <w:bookmarkEnd w:id="17"/>
      <w:r/>
      <w:bookmarkEnd w:id="18"/>
      <w:r/>
      <w:bookmarkEnd w:id="19"/>
      <w:r/>
      <w:bookmarkEnd w:id="20"/>
      <w:r/>
      <w:bookmarkEnd w:id="21"/>
      <w:r>
        <w:rPr>
          <w:rFonts w:hint="eastAsia" w:ascii="宋体" w:hAnsi="宋体" w:cs="宋体"/>
          <w:sz w:val="24"/>
          <w:szCs w:val="20"/>
        </w:rPr>
        <w:t xml:space="preserve">自招标文件公告发布之日起</w:t>
      </w:r>
      <w:r>
        <w:rPr>
          <w:rFonts w:hint="eastAsia" w:ascii="宋体" w:hAnsi="宋体" w:cs="宋体"/>
          <w:color w:val="000000" w:themeColor="text1"/>
          <w:sz w:val="24"/>
          <w:szCs w:val="20"/>
          <w14:textFill>
            <w14:solidFill>
              <w14:schemeClr w14:val="tx1"/>
            </w14:solidFill>
          </w14:textFill>
        </w:rPr>
        <w:t xml:space="preserve">5</w:t>
      </w:r>
      <w:r>
        <w:rPr>
          <w:rFonts w:hint="eastAsia" w:ascii="宋体" w:hAnsi="宋体" w:cs="宋体"/>
          <w:sz w:val="24"/>
          <w:szCs w:val="20"/>
        </w:rPr>
        <w:t xml:space="preserve">个工作日</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2.地点：“苏采云”系统内免费下载（投标人必须在苏采云系统中获取采购文件，方能参与政府采购项目）</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3.方式：本项目采用网上注册登记方式</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4.售价：0元</w:t>
      </w:r>
      <w:r/>
    </w:p>
    <w:p>
      <w:pPr>
        <w:ind w:firstLine="480"/>
        <w:jc w:val="left"/>
        <w:spacing w:line="560" w:lineRule="exact"/>
        <w:widowControl/>
        <w:rPr>
          <w:rFonts w:hint="eastAsia" w:ascii="宋体" w:hAnsi="宋体" w:eastAsia="宋体" w:cs="宋体"/>
          <w:b/>
          <w:bCs/>
          <w:sz w:val="24"/>
          <w:szCs w:val="20"/>
        </w:rPr>
        <w:outlineLvl w:val="1"/>
      </w:pPr>
      <w:r>
        <w:rPr>
          <w:rFonts w:hint="eastAsia" w:ascii="宋体" w:hAnsi="宋体" w:eastAsia="宋体" w:cs="宋体"/>
          <w:b/>
          <w:bCs/>
          <w:sz w:val="24"/>
          <w:szCs w:val="20"/>
        </w:rPr>
        <w:t xml:space="preserve">四、提交投标文件截止时间、开标时间和地点</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rPr>
        <w:t xml:space="preserve">1.时间：2025年12月17日09点30分（北京时间）</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2.地点：苏采云“不见面”开标大厅。</w:t>
      </w:r>
      <w:r/>
    </w:p>
    <w:p>
      <w:pPr>
        <w:ind w:firstLine="480"/>
        <w:jc w:val="left"/>
        <w:spacing w:line="560" w:lineRule="exact"/>
        <w:widowControl/>
        <w:rPr>
          <w:rFonts w:hint="eastAsia" w:ascii="宋体" w:hAnsi="宋体" w:eastAsia="宋体" w:cs="宋体"/>
          <w:b/>
          <w:bCs/>
          <w:sz w:val="24"/>
          <w:szCs w:val="20"/>
        </w:rPr>
        <w:outlineLvl w:val="1"/>
      </w:pPr>
      <w:r/>
      <w:bookmarkStart w:id="22" w:name="_Toc38985267"/>
      <w:r/>
      <w:bookmarkStart w:id="23" w:name="_Toc35393794"/>
      <w:r/>
      <w:bookmarkStart w:id="24" w:name="_Toc35393625"/>
      <w:r/>
      <w:bookmarkStart w:id="25" w:name="_Toc28359084"/>
      <w:r/>
      <w:bookmarkStart w:id="26" w:name="_Toc28359007"/>
      <w:r>
        <w:rPr>
          <w:rFonts w:hint="eastAsia" w:ascii="宋体" w:hAnsi="宋体" w:eastAsia="宋体" w:cs="宋体"/>
          <w:b/>
          <w:bCs/>
          <w:sz w:val="24"/>
          <w:szCs w:val="20"/>
        </w:rPr>
        <w:t xml:space="preserve">五、公告期限</w:t>
      </w:r>
      <w:bookmarkEnd w:id="22"/>
      <w:r/>
      <w:bookmarkEnd w:id="23"/>
      <w:r/>
      <w:bookmarkEnd w:id="24"/>
      <w:r/>
      <w:bookmarkEnd w:id="25"/>
      <w:r/>
      <w:bookmarkEnd w:id="26"/>
      <w:r/>
      <w:r/>
    </w:p>
    <w:p>
      <w:pPr>
        <w:ind w:firstLine="480"/>
        <w:jc w:val="left"/>
        <w:spacing w:line="560" w:lineRule="exact"/>
        <w:widowControl/>
        <w:rPr>
          <w:rFonts w:hint="eastAsia" w:ascii="宋体" w:hAnsi="宋体" w:eastAsia="宋体" w:cs="宋体"/>
          <w:sz w:val="24"/>
          <w:szCs w:val="20"/>
        </w:rPr>
      </w:pPr>
      <w:r/>
      <w:bookmarkStart w:id="27" w:name="_Toc35393795"/>
      <w:r/>
      <w:bookmarkStart w:id="28" w:name="_Toc38985268"/>
      <w:r/>
      <w:bookmarkStart w:id="29" w:name="_Toc35393626"/>
      <w:r>
        <w:rPr>
          <w:rFonts w:hint="eastAsia" w:ascii="宋体" w:hAnsi="宋体" w:eastAsia="宋体" w:cs="宋体"/>
          <w:sz w:val="24"/>
          <w:szCs w:val="20"/>
        </w:rPr>
        <w:t xml:space="preserve">自本公告发布之日起5个工作日</w:t>
      </w:r>
      <w:bookmarkEnd w:id="27"/>
      <w:r/>
      <w:bookmarkEnd w:id="28"/>
      <w:r/>
      <w:bookmarkEnd w:id="29"/>
      <w:r/>
      <w:r/>
    </w:p>
    <w:p>
      <w:pPr>
        <w:ind w:firstLine="480"/>
        <w:jc w:val="left"/>
        <w:spacing w:line="560" w:lineRule="exact"/>
        <w:widowControl/>
        <w:rPr>
          <w:rFonts w:hint="eastAsia" w:ascii="宋体" w:hAnsi="宋体" w:eastAsia="宋体" w:cs="宋体"/>
          <w:b/>
          <w:bCs/>
          <w:sz w:val="24"/>
          <w:szCs w:val="20"/>
        </w:rPr>
        <w:outlineLvl w:val="1"/>
      </w:pPr>
      <w:r>
        <w:rPr>
          <w:rFonts w:hint="eastAsia" w:ascii="宋体" w:hAnsi="宋体" w:eastAsia="宋体" w:cs="宋体"/>
          <w:b/>
          <w:bCs/>
          <w:sz w:val="24"/>
          <w:szCs w:val="20"/>
        </w:rPr>
        <w:t xml:space="preserve">六、其他补充事宜</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w:t>
      </w:r>
      <w:r>
        <w:rPr>
          <w:rFonts w:hint="eastAsia" w:ascii="宋体" w:hAnsi="宋体" w:eastAsia="宋体" w:cs="宋体"/>
          <w:sz w:val="24"/>
          <w:szCs w:val="20"/>
          <w:lang w:eastAsia="zh-CN"/>
        </w:rPr>
        <w:t xml:space="preserve">投标人</w:t>
      </w:r>
      <w:r>
        <w:rPr>
          <w:rFonts w:hint="eastAsia" w:ascii="宋体" w:hAnsi="宋体" w:eastAsia="宋体" w:cs="宋体"/>
          <w:sz w:val="24"/>
          <w:szCs w:val="20"/>
        </w:rPr>
        <w:t xml:space="preserve">参与政府采购活动相关资料】。</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领取CA和办理电子签章（请至亭湖区政务服务中心二楼226窗口办理，联系电话：15051556883，办理邮箱：yancheng@ideabank.net.cn，具体联系方式见《苏采云系统</w:t>
      </w:r>
      <w:r>
        <w:rPr>
          <w:rFonts w:hint="eastAsia" w:ascii="宋体" w:hAnsi="宋体" w:eastAsia="宋体" w:cs="宋体"/>
          <w:sz w:val="24"/>
          <w:szCs w:val="20"/>
          <w:lang w:eastAsia="zh-CN"/>
        </w:rPr>
        <w:t xml:space="preserve">投标人</w:t>
      </w:r>
      <w:r>
        <w:rPr>
          <w:rFonts w:hint="eastAsia" w:ascii="宋体" w:hAnsi="宋体" w:eastAsia="宋体" w:cs="宋体"/>
          <w:sz w:val="24"/>
          <w:szCs w:val="20"/>
        </w:rPr>
        <w:t xml:space="preserve">操作手册》（以下简称《操作手册》））、进行注册并按《操作手册》要求制作、上传电子投标文件，《苏采云系统</w:t>
      </w:r>
      <w:r>
        <w:rPr>
          <w:rFonts w:hint="eastAsia" w:ascii="宋体" w:hAnsi="宋体" w:eastAsia="宋体" w:cs="宋体"/>
          <w:sz w:val="24"/>
          <w:szCs w:val="20"/>
          <w:lang w:eastAsia="zh-CN"/>
        </w:rPr>
        <w:t xml:space="preserve">投标人</w:t>
      </w:r>
      <w:r>
        <w:rPr>
          <w:rFonts w:hint="eastAsia" w:ascii="宋体" w:hAnsi="宋体" w:eastAsia="宋体" w:cs="宋体"/>
          <w:sz w:val="24"/>
          <w:szCs w:val="20"/>
        </w:rPr>
        <w:t xml:space="preserve">操作手册》：在盐城市政府采购网点击【办事指南】-【</w:t>
      </w:r>
      <w:r>
        <w:rPr>
          <w:rFonts w:hint="eastAsia" w:ascii="宋体" w:hAnsi="宋体" w:eastAsia="宋体" w:cs="宋体"/>
          <w:sz w:val="24"/>
          <w:szCs w:val="20"/>
          <w:lang w:eastAsia="zh-CN"/>
        </w:rPr>
        <w:t xml:space="preserve">投标人</w:t>
      </w:r>
      <w:r>
        <w:rPr>
          <w:rFonts w:hint="eastAsia" w:ascii="宋体" w:hAnsi="宋体" w:eastAsia="宋体" w:cs="宋体"/>
          <w:sz w:val="24"/>
          <w:szCs w:val="20"/>
        </w:rPr>
        <w:t xml:space="preserve">参与政府采购活动相关资料】。</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2.潜在</w:t>
      </w:r>
      <w:r>
        <w:rPr>
          <w:rFonts w:hint="eastAsia" w:ascii="宋体" w:hAnsi="宋体" w:eastAsia="宋体" w:cs="宋体"/>
          <w:sz w:val="24"/>
          <w:szCs w:val="20"/>
          <w:lang w:eastAsia="zh-CN"/>
        </w:rPr>
        <w:t xml:space="preserve">投标人</w:t>
      </w:r>
      <w:r>
        <w:rPr>
          <w:rFonts w:hint="eastAsia" w:ascii="宋体" w:hAnsi="宋体" w:eastAsia="宋体" w:cs="宋体"/>
          <w:sz w:val="24"/>
          <w:szCs w:val="20"/>
        </w:rPr>
        <w:t xml:space="preserve">访问电子招标响应交易平台的网络地址和方法： </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w:t>
      </w:r>
      <w:r>
        <w:rPr>
          <w:rFonts w:hint="eastAsia" w:ascii="宋体" w:hAnsi="宋体" w:eastAsia="宋体" w:cs="宋体"/>
          <w:sz w:val="24"/>
          <w:szCs w:val="20"/>
          <w:lang w:eastAsia="zh-CN"/>
        </w:rPr>
        <w:t xml:space="preserve">投标人</w:t>
      </w:r>
      <w:r>
        <w:rPr>
          <w:rFonts w:hint="eastAsia" w:ascii="宋体" w:hAnsi="宋体" w:eastAsia="宋体" w:cs="宋体"/>
          <w:sz w:val="24"/>
          <w:szCs w:val="20"/>
        </w:rPr>
        <w:t xml:space="preserve">操作手册》 （手册下载地址：苏采云系统-右侧消息通知栏）。 </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2.2 潜在投标人访问“苏采云”系统方法：江苏省政府采购网首页-“苏采云”链接。 </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2.3 采购文件（后缀名为“.kedt”）、</w:t>
      </w:r>
      <w:r>
        <w:rPr>
          <w:rFonts w:hint="eastAsia" w:ascii="宋体" w:hAnsi="宋体" w:eastAsia="宋体" w:cs="宋体"/>
          <w:sz w:val="24"/>
          <w:szCs w:val="20"/>
          <w:lang w:eastAsia="zh-CN"/>
        </w:rPr>
        <w:t xml:space="preserve">投标人</w:t>
      </w:r>
      <w:r>
        <w:rPr>
          <w:rFonts w:hint="eastAsia" w:ascii="宋体" w:hAnsi="宋体" w:eastAsia="宋体" w:cs="宋体"/>
          <w:sz w:val="24"/>
          <w:szCs w:val="20"/>
        </w:rPr>
        <w:t xml:space="preserve">操作手册及政府采购客户端 工具可通过“苏采云”系统相应链接进行下载。 </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2.4 采购代理机构将数据电文形式的采购文件加载至“苏采云”系统，供潜在</w:t>
      </w:r>
      <w:r>
        <w:rPr>
          <w:rFonts w:hint="eastAsia" w:ascii="宋体" w:hAnsi="宋体" w:eastAsia="宋体" w:cs="宋体"/>
          <w:sz w:val="24"/>
          <w:szCs w:val="20"/>
          <w:lang w:eastAsia="zh-CN"/>
        </w:rPr>
        <w:t xml:space="preserve">投标人</w:t>
      </w:r>
      <w:r>
        <w:rPr>
          <w:rFonts w:hint="eastAsia" w:ascii="宋体" w:hAnsi="宋体" w:eastAsia="宋体" w:cs="宋体"/>
          <w:sz w:val="24"/>
          <w:szCs w:val="20"/>
        </w:rPr>
        <w:t xml:space="preserve">下载或者查阅。 </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2.5 请潜在</w:t>
      </w:r>
      <w:r>
        <w:rPr>
          <w:rFonts w:hint="eastAsia" w:ascii="宋体" w:hAnsi="宋体" w:eastAsia="宋体" w:cs="宋体"/>
          <w:sz w:val="24"/>
          <w:szCs w:val="20"/>
          <w:lang w:eastAsia="zh-CN"/>
        </w:rPr>
        <w:t xml:space="preserve">投标人</w:t>
      </w:r>
      <w:r>
        <w:rPr>
          <w:rFonts w:hint="eastAsia" w:ascii="宋体" w:hAnsi="宋体" w:eastAsia="宋体" w:cs="宋体"/>
          <w:sz w:val="24"/>
          <w:szCs w:val="20"/>
        </w:rPr>
        <w:t xml:space="preserve">提前安装相应的控件（详见《“苏采云”系统</w:t>
      </w:r>
      <w:r>
        <w:rPr>
          <w:rFonts w:hint="eastAsia" w:ascii="宋体" w:hAnsi="宋体" w:eastAsia="宋体" w:cs="宋体"/>
          <w:sz w:val="24"/>
          <w:szCs w:val="20"/>
          <w:lang w:eastAsia="zh-CN"/>
        </w:rPr>
        <w:t xml:space="preserve">投标人</w:t>
      </w:r>
      <w:r>
        <w:rPr>
          <w:rFonts w:hint="eastAsia" w:ascii="宋体" w:hAnsi="宋体" w:eastAsia="宋体" w:cs="宋体"/>
          <w:sz w:val="24"/>
          <w:szCs w:val="20"/>
        </w:rPr>
        <w:t xml:space="preserve">操作手册》）并使用谷歌浏览器登录“苏采云”系统参与不见面开评标。 </w:t>
      </w:r>
      <w:r/>
    </w:p>
    <w:p>
      <w:pPr>
        <w:ind w:firstLine="480"/>
        <w:jc w:val="left"/>
        <w:spacing w:line="560" w:lineRule="exact"/>
        <w:widowControl/>
        <w:rPr>
          <w:rFonts w:hint="eastAsia" w:ascii="宋体" w:hAnsi="宋体" w:cs="宋体"/>
          <w:b/>
          <w:bCs/>
          <w:sz w:val="24"/>
        </w:rPr>
      </w:pPr>
      <w:r>
        <w:rPr>
          <w:rFonts w:hint="eastAsia" w:ascii="宋体" w:hAnsi="宋体" w:eastAsia="宋体" w:cs="宋体"/>
          <w:sz w:val="24"/>
          <w:szCs w:val="20"/>
        </w:rPr>
        <w:t xml:space="preserve">如潜在投标人未按上述要求操作，将自行承担所产生的风险。</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3.有关本次招标的事项若存在变动或修改，敬请及时关注盐城市政府采购中心在“中国政府采购网”、“江苏政府采购网”、“盐城市政府采购网”发布的更正公告。</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4.本次招标不收取投标保证金，不收取质量保证金。</w:t>
      </w:r>
      <w:r/>
    </w:p>
    <w:p>
      <w:pPr>
        <w:ind w:firstLine="480"/>
        <w:jc w:val="left"/>
        <w:spacing w:line="560" w:lineRule="exact"/>
        <w:widowControl/>
        <w:rPr>
          <w:rFonts w:hint="eastAsia" w:ascii="宋体" w:hAnsi="宋体" w:eastAsia="宋体" w:cs="宋体"/>
          <w:b/>
          <w:bCs/>
          <w:sz w:val="24"/>
          <w:szCs w:val="20"/>
        </w:rPr>
        <w:outlineLvl w:val="1"/>
      </w:pPr>
      <w:r>
        <w:rPr>
          <w:rFonts w:hint="eastAsia" w:ascii="宋体" w:hAnsi="宋体" w:eastAsia="宋体" w:cs="宋体"/>
          <w:b/>
          <w:bCs/>
          <w:sz w:val="24"/>
          <w:szCs w:val="20"/>
        </w:rPr>
        <w:t xml:space="preserve">七、对本次招标提出询问，请按以下方式联系。</w:t>
      </w:r>
      <w:r/>
    </w:p>
    <w:p>
      <w:pPr>
        <w:ind w:firstLine="480"/>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w:t>
      </w:r>
      <w:r>
        <w:rPr>
          <w:rFonts w:hint="eastAsia" w:ascii="宋体" w:hAnsi="宋体" w:cs="宋体"/>
          <w:b/>
          <w:bCs/>
          <w:sz w:val="24"/>
          <w:szCs w:val="20"/>
        </w:rPr>
        <w:t xml:space="preserve">、</w:t>
      </w:r>
      <w:r>
        <w:rPr>
          <w:rFonts w:hint="eastAsia" w:ascii="宋体" w:hAnsi="宋体" w:eastAsia="宋体" w:cs="宋体"/>
          <w:b/>
          <w:bCs/>
          <w:sz w:val="24"/>
          <w:szCs w:val="20"/>
          <w:lang w:eastAsia="zh-CN"/>
        </w:rPr>
        <w:t xml:space="preserve">采购人</w:t>
      </w:r>
      <w:r>
        <w:rPr>
          <w:rFonts w:hint="eastAsia" w:ascii="宋体" w:hAnsi="宋体" w:eastAsia="Arial" w:cs="宋体"/>
          <w:b/>
          <w:bCs/>
          <w:sz w:val="24"/>
          <w:szCs w:val="20"/>
        </w:rPr>
        <w:t xml:space="preserve">信息 </w:t>
      </w:r>
      <w:r/>
    </w:p>
    <w:p>
      <w:pPr>
        <w:ind w:firstLine="480"/>
        <w:jc w:val="left"/>
        <w:spacing w:line="560" w:lineRule="exact"/>
        <w:widowControl/>
        <w:rPr>
          <w:rFonts w:hint="eastAsia" w:ascii="宋体" w:hAnsi="宋体" w:eastAsia="宋体" w:cs="宋体"/>
          <w:sz w:val="24"/>
          <w:szCs w:val="20"/>
        </w:rPr>
      </w:pPr>
      <w:r>
        <w:rPr>
          <w:rFonts w:hint="eastAsia" w:ascii="宋体" w:hAnsi="宋体" w:eastAsia="Arial" w:cs="宋体"/>
          <w:sz w:val="24"/>
          <w:szCs w:val="20"/>
        </w:rPr>
        <w:t xml:space="preserve">单位名称：</w:t>
      </w:r>
      <w:r>
        <w:rPr>
          <w:rFonts w:hint="eastAsia" w:ascii="宋体" w:hAnsi="宋体" w:eastAsia="宋体" w:cs="宋体"/>
          <w:sz w:val="24"/>
          <w:szCs w:val="20"/>
        </w:rPr>
        <w:t xml:space="preserve">盐城市大数据管理中心</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单位地址：</w:t>
      </w:r>
      <w:r>
        <w:rPr>
          <w:rFonts w:hint="eastAsia" w:asciiTheme="minorEastAsia" w:hAnsiTheme="minorEastAsia" w:cstheme="minorEastAsia"/>
          <w:sz w:val="24"/>
          <w:szCs w:val="20"/>
        </w:rPr>
        <w:t xml:space="preserve">盐城市府西路1号国投商务楼</w:t>
      </w:r>
      <w:r/>
    </w:p>
    <w:p>
      <w:pPr>
        <w:ind w:firstLine="480"/>
        <w:jc w:val="left"/>
        <w:spacing w:line="560" w:lineRule="exact"/>
        <w:widowControl/>
        <w:rPr>
          <w:rFonts w:hint="eastAsia" w:ascii="宋体" w:hAnsi="宋体" w:eastAsia="宋体" w:cs="宋体"/>
          <w:sz w:val="24"/>
          <w:szCs w:val="20"/>
        </w:rPr>
      </w:pPr>
      <w:r>
        <w:rPr>
          <w:rFonts w:hint="eastAsia" w:ascii="宋体" w:hAnsi="宋体" w:eastAsia="Arial" w:cs="宋体"/>
          <w:sz w:val="24"/>
          <w:szCs w:val="20"/>
        </w:rPr>
        <w:t xml:space="preserve">联 系 人：</w:t>
      </w:r>
      <w:r>
        <w:rPr>
          <w:rFonts w:hint="eastAsia" w:ascii="宋体" w:hAnsi="宋体" w:eastAsia="宋体" w:cs="宋体"/>
          <w:sz w:val="24"/>
          <w:szCs w:val="20"/>
        </w:rPr>
        <w:t xml:space="preserve">戴先生</w:t>
      </w:r>
      <w:r/>
    </w:p>
    <w:p>
      <w:pPr>
        <w:ind w:firstLine="480"/>
        <w:jc w:val="left"/>
        <w:spacing w:line="560" w:lineRule="exact"/>
        <w:widowControl/>
        <w:rPr>
          <w:rFonts w:hint="eastAsia" w:ascii="宋体" w:hAnsi="宋体" w:eastAsia="宋体" w:cs="宋体"/>
          <w:sz w:val="24"/>
          <w:szCs w:val="20"/>
        </w:rPr>
      </w:pPr>
      <w:r>
        <w:rPr>
          <w:rFonts w:hint="eastAsia" w:ascii="宋体" w:hAnsi="宋体" w:eastAsia="Arial" w:cs="宋体"/>
          <w:sz w:val="24"/>
          <w:szCs w:val="20"/>
        </w:rPr>
        <w:t xml:space="preserve">联系电话：</w:t>
      </w:r>
      <w:r>
        <w:rPr>
          <w:rFonts w:hint="eastAsia" w:ascii="宋体" w:hAnsi="宋体" w:eastAsia="宋体" w:cs="宋体"/>
          <w:sz w:val="24"/>
          <w:szCs w:val="20"/>
        </w:rPr>
        <w:t xml:space="preserve">0515-69083908</w:t>
      </w:r>
      <w:r/>
    </w:p>
    <w:p>
      <w:pPr>
        <w:ind w:firstLine="480"/>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w:t>
      </w:r>
      <w:r>
        <w:rPr>
          <w:rFonts w:hint="eastAsia" w:ascii="宋体" w:hAnsi="宋体" w:eastAsia="宋体" w:cs="宋体"/>
          <w:b/>
          <w:bCs/>
          <w:sz w:val="24"/>
          <w:szCs w:val="20"/>
        </w:rPr>
        <w:t xml:space="preserve">、</w:t>
      </w:r>
      <w:r>
        <w:rPr>
          <w:rFonts w:hint="eastAsia" w:ascii="宋体" w:hAnsi="宋体" w:eastAsia="Arial" w:cs="宋体"/>
          <w:b/>
          <w:bCs/>
          <w:sz w:val="24"/>
          <w:szCs w:val="20"/>
        </w:rPr>
        <w:t xml:space="preserve">采购代理机构信息</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名 </w:t>
      </w:r>
      <w:r>
        <w:rPr>
          <w:rFonts w:hint="eastAsia" w:ascii="宋体" w:hAnsi="宋体" w:cs="宋体"/>
          <w:sz w:val="24"/>
          <w:szCs w:val="20"/>
        </w:rPr>
        <w:t xml:space="preserve">   </w:t>
      </w:r>
      <w:r>
        <w:rPr>
          <w:rFonts w:hint="eastAsia" w:ascii="宋体" w:hAnsi="宋体" w:eastAsia="Arial" w:cs="宋体"/>
          <w:sz w:val="24"/>
          <w:szCs w:val="20"/>
        </w:rPr>
        <w:t xml:space="preserve">称：盐城市政府采购中心 </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地    址：盐城市府西路1号市公共资源交易中心5楼</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联 系 人：范女士             </w:t>
      </w:r>
      <w:r/>
    </w:p>
    <w:p>
      <w:pPr>
        <w:ind w:firstLine="480"/>
        <w:jc w:val="left"/>
        <w:spacing w:line="560" w:lineRule="exact"/>
        <w:widowControl/>
        <w:rPr>
          <w:rFonts w:hint="eastAsia" w:ascii="宋体" w:hAnsi="宋体" w:cs="宋体"/>
          <w:sz w:val="24"/>
          <w:szCs w:val="20"/>
        </w:rPr>
      </w:pPr>
      <w:r>
        <w:rPr>
          <w:rFonts w:hint="eastAsia" w:ascii="宋体" w:hAnsi="宋体" w:eastAsia="Arial" w:cs="宋体"/>
          <w:sz w:val="24"/>
          <w:szCs w:val="20"/>
        </w:rPr>
        <w:t xml:space="preserve">联系方式：</w:t>
      </w:r>
      <w:bookmarkStart w:id="30" w:name="_Toc28359010"/>
      <w:r/>
      <w:bookmarkStart w:id="31" w:name="_Toc28359087"/>
      <w:r>
        <w:rPr>
          <w:rFonts w:hint="eastAsia" w:ascii="宋体" w:hAnsi="宋体" w:eastAsia="宋体" w:cs="宋体"/>
          <w:sz w:val="24"/>
          <w:szCs w:val="20"/>
        </w:rPr>
        <w:t xml:space="preserve">0515-</w:t>
      </w:r>
      <w:bookmarkEnd w:id="30"/>
      <w:r/>
      <w:bookmarkEnd w:id="31"/>
      <w:r>
        <w:rPr>
          <w:rFonts w:hint="eastAsia" w:ascii="宋体" w:hAnsi="宋体" w:eastAsia="宋体" w:cs="宋体"/>
          <w:sz w:val="24"/>
          <w:szCs w:val="20"/>
        </w:rPr>
        <w:t xml:space="preserve">69083506</w:t>
      </w:r>
      <w:r/>
    </w:p>
    <w:p>
      <w:pPr>
        <w:ind w:firstLine="480"/>
        <w:jc w:val="left"/>
        <w:spacing w:line="560" w:lineRule="exact"/>
        <w:widowControl/>
        <w:rPr>
          <w:rFonts w:ascii="宋体" w:hAnsi="宋体" w:eastAsia="Arial" w:cs="宋体"/>
          <w:b/>
          <w:bCs/>
          <w:sz w:val="24"/>
          <w:szCs w:val="20"/>
        </w:rPr>
        <w:outlineLvl w:val="2"/>
      </w:pPr>
      <w:r/>
      <w:bookmarkStart w:id="32" w:name="_Toc28359021"/>
      <w:r>
        <w:rPr>
          <w:rFonts w:hint="eastAsia" w:ascii="宋体" w:hAnsi="宋体" w:eastAsia="Arial" w:cs="宋体"/>
          <w:b/>
          <w:bCs/>
          <w:sz w:val="24"/>
          <w:szCs w:val="20"/>
        </w:rPr>
        <w:t xml:space="preserve">3</w:t>
      </w:r>
      <w:bookmarkEnd w:id="32"/>
      <w:r>
        <w:rPr>
          <w:rFonts w:hint="eastAsia" w:ascii="宋体" w:hAnsi="宋体" w:eastAsia="宋体" w:cs="宋体"/>
          <w:b/>
          <w:bCs/>
          <w:sz w:val="24"/>
          <w:szCs w:val="20"/>
        </w:rPr>
        <w:t xml:space="preserve">、</w:t>
      </w:r>
      <w:r>
        <w:rPr>
          <w:rFonts w:hint="eastAsia" w:ascii="宋体" w:hAnsi="宋体" w:eastAsia="Arial" w:cs="宋体"/>
          <w:b/>
          <w:bCs/>
          <w:sz w:val="24"/>
          <w:szCs w:val="20"/>
        </w:rPr>
        <w:t xml:space="preserve">项目联系方式</w:t>
      </w:r>
      <w:r/>
    </w:p>
    <w:p>
      <w:pPr>
        <w:ind w:firstLine="480"/>
        <w:jc w:val="left"/>
        <w:spacing w:line="560" w:lineRule="exact"/>
        <w:widowControl/>
        <w:rPr>
          <w:rFonts w:hint="eastAsia" w:ascii="宋体" w:hAnsi="宋体" w:eastAsia="宋体" w:cs="宋体"/>
          <w:sz w:val="24"/>
          <w:szCs w:val="20"/>
        </w:rPr>
      </w:pPr>
      <w:r>
        <w:rPr>
          <w:rFonts w:hint="eastAsia" w:ascii="宋体" w:hAnsi="宋体" w:eastAsia="Arial" w:cs="宋体"/>
          <w:sz w:val="24"/>
          <w:szCs w:val="20"/>
        </w:rPr>
        <w:t xml:space="preserve">项目联系人：范女士</w:t>
      </w:r>
      <w:r/>
    </w:p>
    <w:p>
      <w:pPr>
        <w:ind w:firstLine="480"/>
        <w:jc w:val="left"/>
        <w:spacing w:line="560" w:lineRule="exact"/>
        <w:widowControl/>
        <w:rPr>
          <w:rFonts w:hint="eastAsia" w:ascii="宋体" w:hAnsi="宋体" w:eastAsia="宋体" w:cs="宋体"/>
          <w:sz w:val="24"/>
          <w:szCs w:val="20"/>
        </w:rPr>
      </w:pPr>
      <w:r>
        <w:rPr>
          <w:rFonts w:hint="eastAsia" w:ascii="宋体" w:hAnsi="宋体" w:eastAsia="Arial" w:cs="宋体"/>
          <w:sz w:val="24"/>
          <w:szCs w:val="20"/>
        </w:rPr>
        <w:t xml:space="preserve">联系电话：</w:t>
      </w:r>
      <w:r>
        <w:rPr>
          <w:rFonts w:hint="eastAsia" w:ascii="宋体" w:hAnsi="宋体" w:eastAsia="宋体" w:cs="宋体"/>
          <w:sz w:val="24"/>
          <w:szCs w:val="20"/>
        </w:rPr>
        <w:t xml:space="preserve">0515-69083506</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br w:type="page" w:clear="all"/>
      </w:r>
      <w:r/>
    </w:p>
    <w:p>
      <w:pPr>
        <w:jc w:val="center"/>
        <w:spacing w:line="700" w:lineRule="exact"/>
        <w:widowControl/>
        <w:rPr>
          <w:rFonts w:hint="eastAsia" w:asciiTheme="majorEastAsia" w:hAnsiTheme="majorEastAsia" w:eastAsiaTheme="majorEastAsia" w:cstheme="majorEastAsia"/>
          <w:sz w:val="44"/>
          <w:szCs w:val="20"/>
        </w:rPr>
        <w:pBdr>
          <w:top w:val="none" w:color="000000" w:sz="0" w:space="0"/>
          <w:left w:val="none" w:color="000000" w:sz="0" w:space="0"/>
          <w:bottom w:val="none" w:color="000000" w:sz="0" w:space="0"/>
          <w:right w:val="none" w:color="000000" w:sz="0" w:space="0"/>
        </w:pBdr>
        <w:outlineLvl w:val="0"/>
      </w:pPr>
      <w:r/>
      <w:bookmarkStart w:id="33" w:name="_Toc120614211"/>
      <w:r/>
      <w:bookmarkStart w:id="34" w:name="_Toc213751405"/>
      <w:r/>
      <w:bookmarkStart w:id="35" w:name="_Toc203060313"/>
      <w:r>
        <w:rPr>
          <w:rFonts w:hint="eastAsia" w:asciiTheme="majorEastAsia" w:hAnsiTheme="majorEastAsia" w:eastAsiaTheme="majorEastAsia" w:cstheme="majorEastAsia"/>
          <w:sz w:val="44"/>
          <w:szCs w:val="20"/>
        </w:rPr>
        <w:t xml:space="preserve">第二章  </w:t>
      </w:r>
      <w:bookmarkEnd w:id="33"/>
      <w:r>
        <w:rPr>
          <w:rFonts w:hint="eastAsia" w:asciiTheme="majorEastAsia" w:hAnsiTheme="majorEastAsia" w:eastAsiaTheme="majorEastAsia" w:cstheme="majorEastAsia"/>
          <w:sz w:val="44"/>
          <w:szCs w:val="20"/>
        </w:rPr>
        <w:t xml:space="preserve">投标人须知</w:t>
      </w:r>
      <w:bookmarkEnd w:id="34"/>
      <w:r/>
      <w:bookmarkEnd w:id="35"/>
      <w:r/>
      <w:bookmarkStart w:id="36" w:name="_Toc513029242"/>
      <w:r/>
      <w:bookmarkEnd w:id="36"/>
      <w:r/>
      <w:bookmarkStart w:id="37" w:name="_Toc20823314"/>
      <w:r/>
      <w:bookmarkEnd w:id="37"/>
      <w:r/>
      <w:bookmarkStart w:id="38" w:name="_Toc16938558"/>
      <w:r/>
      <w:bookmarkEnd w:id="38"/>
      <w:r/>
      <w:bookmarkStart w:id="39" w:name="_Toc479757207"/>
      <w:r/>
      <w:bookmarkEnd w:id="39"/>
      <w:r/>
      <w:bookmarkStart w:id="40" w:name="_Toc120614221"/>
      <w:r/>
      <w:bookmarkEnd w:id="40"/>
      <w:r/>
      <w:bookmarkStart w:id="41" w:name="_Hlt26670486"/>
      <w:r/>
      <w:bookmarkStart w:id="42" w:name="_Hlt16619475"/>
      <w:r/>
      <w:bookmarkStart w:id="43" w:name="_Hlt26954846"/>
      <w:r/>
      <w:bookmarkStart w:id="44" w:name="_Hlt26954848"/>
      <w:r/>
      <w:bookmarkStart w:id="45" w:name="_Hlt26670360"/>
      <w:r/>
      <w:bookmarkStart w:id="46" w:name="_Hlt26954838"/>
      <w:r/>
      <w:bookmarkStart w:id="47" w:name="_Hlt26954739"/>
      <w:r/>
      <w:bookmarkStart w:id="48" w:name="_Hlt26954731"/>
      <w:r/>
      <w:bookmarkStart w:id="49" w:name="_Hlt26670482"/>
      <w:r/>
      <w:bookmarkStart w:id="50" w:name="_Toc513029226"/>
      <w:r/>
      <w:bookmarkStart w:id="51" w:name="_Hlt26668975"/>
      <w:r/>
      <w:bookmarkStart w:id="52" w:name="_Hlt26954852"/>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lang w:val="zh-CN"/>
        </w:rPr>
        <w:t xml:space="preserve">一、总</w:t>
      </w:r>
      <w:r>
        <w:rPr>
          <w:rFonts w:hint="eastAsia" w:ascii="宋体" w:hAnsi="宋体" w:eastAsia="Arial" w:cs="宋体"/>
          <w:b/>
          <w:bCs/>
          <w:sz w:val="24"/>
          <w:szCs w:val="20"/>
        </w:rPr>
        <w:t xml:space="preserve">则</w:t>
      </w:r>
      <w:r/>
    </w:p>
    <w:p>
      <w:pPr>
        <w:ind w:firstLine="482"/>
        <w:jc w:val="left"/>
        <w:spacing w:line="560" w:lineRule="exact"/>
        <w:widowControl/>
        <w:rPr>
          <w:rFonts w:ascii="宋体" w:hAnsi="宋体" w:eastAsia="Arial" w:cs="宋体"/>
          <w:b/>
          <w:bCs/>
          <w:sz w:val="24"/>
          <w:szCs w:val="20"/>
        </w:rPr>
        <w:outlineLvl w:val="2"/>
      </w:pPr>
      <w:r/>
      <w:bookmarkStart w:id="53" w:name="_Toc16938520"/>
      <w:r/>
      <w:bookmarkStart w:id="54" w:name="_Toc20823276"/>
      <w:r/>
      <w:bookmarkStart w:id="55" w:name="_Toc513029204"/>
      <w:r/>
      <w:bookmarkStart w:id="56" w:name="_Toc458694821"/>
      <w:r/>
      <w:bookmarkStart w:id="57" w:name="OLE_LINK14"/>
      <w:r/>
      <w:bookmarkStart w:id="58" w:name="OLE_LINK15"/>
      <w:r>
        <w:rPr>
          <w:rFonts w:hint="eastAsia" w:ascii="宋体" w:hAnsi="宋体" w:eastAsia="Arial" w:cs="宋体"/>
          <w:b/>
          <w:bCs/>
          <w:sz w:val="24"/>
          <w:szCs w:val="20"/>
        </w:rPr>
        <w:t xml:space="preserve">1</w:t>
      </w:r>
      <w:bookmarkEnd w:id="53"/>
      <w:r>
        <w:rPr>
          <w:rFonts w:hint="eastAsia" w:ascii="宋体" w:hAnsi="宋体" w:eastAsia="Arial" w:cs="宋体"/>
          <w:b/>
          <w:bCs/>
          <w:sz w:val="24"/>
          <w:szCs w:val="20"/>
        </w:rPr>
        <w:t xml:space="preserve">、招标方式</w:t>
      </w:r>
      <w:bookmarkEnd w:id="54"/>
      <w:r/>
      <w:bookmarkEnd w:id="55"/>
      <w:r/>
      <w:bookmarkEnd w:id="56"/>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1.1本次招标采取公开招标方式，本招标文件仅适用于招标公告中所述项目。</w:t>
      </w:r>
      <w:r/>
    </w:p>
    <w:p>
      <w:pPr>
        <w:ind w:firstLine="482"/>
        <w:jc w:val="left"/>
        <w:spacing w:line="560" w:lineRule="exact"/>
        <w:widowControl/>
        <w:rPr>
          <w:rFonts w:ascii="宋体" w:hAnsi="宋体" w:eastAsia="Arial" w:cs="宋体"/>
          <w:b/>
          <w:bCs/>
          <w:sz w:val="24"/>
          <w:szCs w:val="20"/>
          <w:lang w:val="zh-CN"/>
        </w:rPr>
        <w:outlineLvl w:val="2"/>
      </w:pPr>
      <w:r/>
      <w:bookmarkStart w:id="59" w:name="_Toc16938521"/>
      <w:r/>
      <w:bookmarkStart w:id="60" w:name="_Toc513029205"/>
      <w:r/>
      <w:bookmarkStart w:id="61" w:name="_Toc20823277"/>
      <w:r>
        <w:rPr>
          <w:rFonts w:hint="eastAsia" w:ascii="宋体" w:hAnsi="宋体" w:eastAsia="Arial" w:cs="宋体"/>
          <w:b/>
          <w:bCs/>
          <w:sz w:val="24"/>
          <w:szCs w:val="20"/>
          <w:lang w:val="zh-CN"/>
        </w:rPr>
        <w:t xml:space="preserve">2、合格的投标人</w:t>
      </w:r>
      <w:bookmarkEnd w:id="59"/>
      <w:r/>
      <w:bookmarkEnd w:id="60"/>
      <w:r/>
      <w:bookmarkEnd w:id="61"/>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2.1满足招标公告中</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的资格要求的规定。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2.2满足本文件实质性要求和条件的规定。</w:t>
      </w:r>
      <w:r/>
    </w:p>
    <w:p>
      <w:pPr>
        <w:ind w:firstLine="482"/>
        <w:jc w:val="left"/>
        <w:spacing w:line="560" w:lineRule="exact"/>
        <w:widowControl/>
        <w:rPr>
          <w:rFonts w:ascii="宋体" w:hAnsi="宋体" w:eastAsia="Arial" w:cs="宋体"/>
          <w:b/>
          <w:bCs/>
          <w:sz w:val="24"/>
          <w:szCs w:val="20"/>
        </w:rPr>
        <w:outlineLvl w:val="2"/>
      </w:pPr>
      <w:r/>
      <w:bookmarkStart w:id="62" w:name="_Toc20823278"/>
      <w:r/>
      <w:bookmarkStart w:id="63" w:name="_Toc16938522"/>
      <w:r/>
      <w:bookmarkStart w:id="64" w:name="_Toc513029206"/>
      <w:r>
        <w:rPr>
          <w:rFonts w:hint="eastAsia" w:ascii="宋体" w:hAnsi="宋体" w:eastAsia="Arial" w:cs="宋体"/>
          <w:b/>
          <w:bCs/>
          <w:sz w:val="24"/>
          <w:szCs w:val="20"/>
        </w:rPr>
        <w:t xml:space="preserve">3、适用法律</w:t>
      </w:r>
      <w:bookmarkEnd w:id="62"/>
      <w:r/>
      <w:bookmarkEnd w:id="63"/>
      <w:r/>
      <w:bookmarkEnd w:id="64"/>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3.1本次招标及由此产生的合同受中华人民共和国有关的法律法规制约和保护。</w:t>
      </w:r>
      <w:r/>
    </w:p>
    <w:p>
      <w:pPr>
        <w:ind w:firstLine="482"/>
        <w:jc w:val="left"/>
        <w:spacing w:line="560" w:lineRule="exact"/>
        <w:widowControl/>
        <w:rPr>
          <w:rFonts w:ascii="宋体" w:hAnsi="宋体" w:eastAsia="Arial" w:cs="宋体"/>
          <w:b/>
          <w:bCs/>
          <w:sz w:val="24"/>
          <w:szCs w:val="20"/>
        </w:rPr>
        <w:outlineLvl w:val="2"/>
      </w:pPr>
      <w:r/>
      <w:bookmarkStart w:id="65" w:name="_Toc462564067"/>
      <w:r/>
      <w:bookmarkStart w:id="66" w:name="_Toc16938523"/>
      <w:r/>
      <w:bookmarkStart w:id="67" w:name="_Toc20823279"/>
      <w:r/>
      <w:bookmarkStart w:id="68" w:name="_Toc513029207"/>
      <w:r>
        <w:rPr>
          <w:rFonts w:hint="eastAsia" w:ascii="宋体" w:hAnsi="宋体" w:eastAsia="Arial" w:cs="宋体"/>
          <w:b/>
          <w:bCs/>
          <w:sz w:val="24"/>
          <w:szCs w:val="20"/>
        </w:rPr>
        <w:t xml:space="preserve">4、投标费用</w:t>
      </w:r>
      <w:bookmarkEnd w:id="65"/>
      <w:r/>
      <w:bookmarkEnd w:id="66"/>
      <w:r/>
      <w:bookmarkEnd w:id="67"/>
      <w:r/>
      <w:bookmarkEnd w:id="68"/>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4.2本次招标采购中心和</w:t>
      </w:r>
      <w:r>
        <w:rPr>
          <w:rFonts w:hint="eastAsia" w:ascii="宋体" w:hAnsi="宋体" w:eastAsia="宋体" w:cs="宋体"/>
          <w:sz w:val="24"/>
          <w:szCs w:val="20"/>
          <w:lang w:eastAsia="zh-CN"/>
        </w:rPr>
        <w:t xml:space="preserve">采购人</w:t>
      </w:r>
      <w:r>
        <w:rPr>
          <w:rFonts w:hint="eastAsia" w:ascii="宋体" w:hAnsi="宋体" w:eastAsia="Arial" w:cs="宋体"/>
          <w:sz w:val="24"/>
          <w:szCs w:val="20"/>
        </w:rPr>
        <w:t xml:space="preserve">不收取标书工本费与中标服务费。</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5、招标文件的约束力</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5.1投标人一旦参加本项目采购活动，即被认为接受了本招标文件的规定和约束。</w:t>
      </w:r>
      <w:r/>
    </w:p>
    <w:p>
      <w:pPr>
        <w:ind w:firstLine="482"/>
        <w:jc w:val="left"/>
        <w:spacing w:line="560" w:lineRule="exact"/>
        <w:widowControl/>
        <w:rPr>
          <w:rFonts w:ascii="宋体" w:hAnsi="宋体" w:eastAsia="Arial" w:cs="宋体"/>
          <w:b/>
          <w:bCs/>
          <w:sz w:val="24"/>
          <w:szCs w:val="20"/>
        </w:rPr>
        <w:outlineLvl w:val="1"/>
      </w:pPr>
      <w:r/>
      <w:bookmarkStart w:id="69" w:name="_Toc120614215"/>
      <w:r/>
      <w:bookmarkStart w:id="70" w:name="_Toc16938525"/>
      <w:r/>
      <w:bookmarkStart w:id="71" w:name="_Toc20823281"/>
      <w:r/>
      <w:bookmarkStart w:id="72" w:name="_Toc513029209"/>
      <w:r>
        <w:rPr>
          <w:rFonts w:hint="eastAsia" w:ascii="宋体" w:hAnsi="宋体" w:eastAsia="Arial" w:cs="宋体"/>
          <w:b/>
          <w:bCs/>
          <w:sz w:val="24"/>
          <w:szCs w:val="20"/>
        </w:rPr>
        <w:t xml:space="preserve">二、招标文件</w:t>
      </w:r>
      <w:bookmarkEnd w:id="69"/>
      <w:r/>
      <w:bookmarkEnd w:id="70"/>
      <w:r/>
      <w:bookmarkEnd w:id="71"/>
      <w:r/>
      <w:bookmarkEnd w:id="72"/>
      <w:r/>
      <w:r/>
    </w:p>
    <w:p>
      <w:pPr>
        <w:ind w:firstLine="482"/>
        <w:jc w:val="left"/>
        <w:spacing w:line="560" w:lineRule="exact"/>
        <w:widowControl/>
        <w:rPr>
          <w:rFonts w:ascii="宋体" w:hAnsi="宋体" w:eastAsia="Arial" w:cs="宋体"/>
          <w:b/>
          <w:bCs/>
          <w:sz w:val="24"/>
          <w:szCs w:val="20"/>
        </w:rPr>
        <w:outlineLvl w:val="2"/>
      </w:pPr>
      <w:r/>
      <w:bookmarkStart w:id="73" w:name="_Toc16938526"/>
      <w:r/>
      <w:bookmarkStart w:id="74" w:name="_Toc20823282"/>
      <w:r/>
      <w:bookmarkStart w:id="75" w:name="_Toc513029210"/>
      <w:r>
        <w:rPr>
          <w:rFonts w:hint="eastAsia" w:ascii="宋体" w:hAnsi="宋体" w:eastAsia="Arial" w:cs="宋体"/>
          <w:b/>
          <w:bCs/>
          <w:sz w:val="24"/>
          <w:szCs w:val="20"/>
        </w:rPr>
        <w:t xml:space="preserve">6、招标文件构成</w:t>
      </w:r>
      <w:bookmarkEnd w:id="73"/>
      <w:r/>
      <w:bookmarkEnd w:id="74"/>
      <w:r/>
      <w:bookmarkEnd w:id="75"/>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6.1 招标文件由以下部分组成：</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（1）招标公告</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（2）投标人须知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（3）合同文本</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（4）采购需求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（5）评标方法与评标标准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（6）投标文件格式</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请仔细检查招标文件是否齐全，如有缺漏请立即与采购中心联系解决。</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left"/>
        <w:spacing w:line="560" w:lineRule="exact"/>
        <w:widowControl/>
        <w:rPr>
          <w:rFonts w:ascii="宋体" w:hAnsi="宋体" w:eastAsia="Arial" w:cs="宋体"/>
          <w:b/>
          <w:bCs/>
          <w:sz w:val="24"/>
          <w:szCs w:val="20"/>
        </w:rPr>
        <w:outlineLvl w:val="2"/>
      </w:pPr>
      <w:r/>
      <w:bookmarkStart w:id="76" w:name="_Toc20823283"/>
      <w:r/>
      <w:bookmarkStart w:id="77" w:name="_Toc16938527"/>
      <w:r/>
      <w:bookmarkStart w:id="78" w:name="_Toc513029211"/>
      <w:r/>
      <w:bookmarkStart w:id="79" w:name="_Toc462564070"/>
      <w:r>
        <w:rPr>
          <w:rFonts w:hint="eastAsia" w:ascii="宋体" w:hAnsi="宋体" w:eastAsia="Arial" w:cs="宋体"/>
          <w:b/>
          <w:bCs/>
          <w:sz w:val="24"/>
          <w:szCs w:val="20"/>
        </w:rPr>
        <w:t xml:space="preserve">7、招标文件的澄清</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7.1任何要求对招标文件进行澄清的投标人，应在投标截止期</w:t>
      </w:r>
      <w:r>
        <w:rPr>
          <w:rFonts w:hint="eastAsia" w:ascii="宋体" w:hAnsi="宋体" w:eastAsia="Arial" w:cs="宋体"/>
          <w:b/>
          <w:bCs/>
          <w:sz w:val="24"/>
          <w:szCs w:val="20"/>
        </w:rPr>
        <w:t xml:space="preserve">十日</w:t>
      </w:r>
      <w:r>
        <w:rPr>
          <w:rFonts w:hint="eastAsia" w:ascii="宋体" w:hAnsi="宋体" w:eastAsia="Arial" w:cs="宋体"/>
          <w:sz w:val="24"/>
          <w:szCs w:val="20"/>
        </w:rPr>
        <w:t xml:space="preserve">前按招标公告中的通讯地址，以书面形式通知采购中心。</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8、招标文件的修改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8.1在投标截止时间前，采购中心可以对招标文件进行修改。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8.2采购中心有权按照法定的要求推迟投标截止日期和开标日期。</w:t>
      </w:r>
      <w:r/>
    </w:p>
    <w:p>
      <w:pPr>
        <w:ind w:firstLine="482"/>
        <w:jc w:val="left"/>
        <w:spacing w:line="560" w:lineRule="exact"/>
        <w:widowControl/>
        <w:rPr>
          <w:rFonts w:hint="eastAsia" w:ascii="宋体" w:hAnsi="宋体" w:eastAsia="宋体" w:cs="宋体"/>
          <w:sz w:val="24"/>
        </w:rPr>
      </w:pPr>
      <w:r>
        <w:rPr>
          <w:rFonts w:hint="eastAsia" w:ascii="宋体" w:hAnsi="宋体" w:eastAsia="Arial" w:cs="宋体"/>
          <w:sz w:val="24"/>
          <w:szCs w:val="20"/>
        </w:rPr>
        <w:t xml:space="preserve">8.3招标文件的修改将在</w:t>
      </w:r>
      <w:r>
        <w:rPr>
          <w:rFonts w:hint="eastAsia" w:ascii="宋体" w:hAnsi="宋体" w:eastAsia="宋体" w:cs="宋体"/>
          <w:sz w:val="24"/>
          <w:szCs w:val="20"/>
        </w:rPr>
        <w:t xml:space="preserve">“</w:t>
      </w:r>
      <w:r>
        <w:rPr>
          <w:rFonts w:hint="eastAsia" w:ascii="宋体" w:hAnsi="宋体" w:eastAsia="Arial" w:cs="宋体"/>
          <w:sz w:val="24"/>
          <w:szCs w:val="20"/>
        </w:rPr>
        <w:t xml:space="preserve">中国政府采购网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w:t>
      </w:r>
      <w:r>
        <w:rPr>
          <w:rFonts w:hint="eastAsia" w:ascii="宋体" w:hAnsi="宋体" w:eastAsia="Arial" w:cs="宋体"/>
          <w:sz w:val="24"/>
          <w:szCs w:val="20"/>
        </w:rPr>
        <w:t xml:space="preserve">江苏政府采购网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“盐城市</w:t>
      </w:r>
      <w:r>
        <w:rPr>
          <w:rFonts w:hint="eastAsia" w:ascii="宋体" w:hAnsi="宋体" w:eastAsia="Arial" w:cs="宋体"/>
          <w:sz w:val="24"/>
          <w:szCs w:val="20"/>
        </w:rPr>
        <w:t xml:space="preserve">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公布，补充文件将作为招标文件的组成部分，并对投标人具有约束力。</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三、投标文件的编制</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9、投标文件的语言及度量衡单位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9.1投标人提交的投标文件以及投标人与采购中心就有关投标的所有来往通知、函件和文件均应使用</w:t>
      </w:r>
      <w:r>
        <w:rPr>
          <w:rFonts w:hint="eastAsia" w:ascii="宋体" w:hAnsi="宋体" w:eastAsia="Arial" w:cs="宋体"/>
          <w:b/>
          <w:bCs/>
          <w:sz w:val="24"/>
          <w:szCs w:val="20"/>
        </w:rPr>
        <w:t xml:space="preserve">简体中文</w:t>
      </w:r>
      <w:r>
        <w:rPr>
          <w:rFonts w:hint="eastAsia" w:ascii="宋体" w:hAnsi="宋体" w:eastAsia="Arial"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9.2除技术性能另有规定外，投标文件所使用的度量衡单位，均须采用国家法定计量单位。</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10、投标文件构成</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10.1投标人编写的投标文件应包括资格证明文件、符合性证明文件、投标分项报价表、技术要求响应及偏离表、商务要求响应及偏离表、其他证明文件、投标函、开标一览表等部分。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10.2如标书制作工具中格式和内容与</w:t>
      </w:r>
      <w:r>
        <w:rPr>
          <w:rFonts w:hint="eastAsia" w:ascii="宋体" w:hAnsi="宋体" w:eastAsia="宋体" w:cs="宋体"/>
          <w:sz w:val="24"/>
          <w:szCs w:val="20"/>
        </w:rPr>
        <w:t xml:space="preserve">“</w:t>
      </w:r>
      <w:r>
        <w:rPr>
          <w:rFonts w:hint="eastAsia" w:ascii="宋体" w:hAnsi="宋体" w:eastAsia="Arial" w:cs="宋体"/>
          <w:sz w:val="24"/>
          <w:szCs w:val="20"/>
        </w:rPr>
        <w:t xml:space="preserve">中国政府采购网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w:t>
      </w:r>
      <w:r>
        <w:rPr>
          <w:rFonts w:hint="eastAsia" w:ascii="宋体" w:hAnsi="宋体" w:eastAsia="Arial" w:cs="宋体"/>
          <w:sz w:val="24"/>
          <w:szCs w:val="20"/>
        </w:rPr>
        <w:t xml:space="preserve">江苏政府采购网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“盐城市</w:t>
      </w:r>
      <w:r>
        <w:rPr>
          <w:rFonts w:hint="eastAsia" w:ascii="宋体" w:hAnsi="宋体" w:eastAsia="Arial" w:cs="宋体"/>
          <w:sz w:val="24"/>
          <w:szCs w:val="20"/>
        </w:rPr>
        <w:t xml:space="preserve">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发布的招标文件不一致，请以</w:t>
      </w:r>
      <w:r>
        <w:rPr>
          <w:rFonts w:hint="eastAsia" w:ascii="宋体" w:hAnsi="宋体" w:eastAsia="宋体" w:cs="宋体"/>
          <w:sz w:val="24"/>
          <w:szCs w:val="20"/>
        </w:rPr>
        <w:t xml:space="preserve">“</w:t>
      </w:r>
      <w:r>
        <w:rPr>
          <w:rFonts w:hint="eastAsia" w:ascii="宋体" w:hAnsi="宋体" w:eastAsia="Arial" w:cs="宋体"/>
          <w:sz w:val="24"/>
          <w:szCs w:val="20"/>
        </w:rPr>
        <w:t xml:space="preserve">中国政府采购网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w:t>
      </w:r>
      <w:r>
        <w:rPr>
          <w:rFonts w:hint="eastAsia" w:ascii="宋体" w:hAnsi="宋体" w:eastAsia="Arial" w:cs="宋体"/>
          <w:sz w:val="24"/>
          <w:szCs w:val="20"/>
        </w:rPr>
        <w:t xml:space="preserve">江苏政府采购网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“盐城市</w:t>
      </w:r>
      <w:r>
        <w:rPr>
          <w:rFonts w:hint="eastAsia" w:ascii="宋体" w:hAnsi="宋体" w:eastAsia="Arial" w:cs="宋体"/>
          <w:sz w:val="24"/>
          <w:szCs w:val="20"/>
        </w:rPr>
        <w:t xml:space="preserve">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发布的招标文件为准。</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11、证明投标人及投标标的符合招标文件规定的文件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11.1投标人应按照法律、法规、规章和规范性文件以及招标文件要求提交证明文件，证明其及投标标的符合招标文件规定。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11.2招标文件对证明文件无明确形式要求的，证明文件可以以文字资料、图纸和数据等形式提交。</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12、投标分项报价表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12.1投标人应按照招标文件规定格式填报投标分项报价表。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12.2投标货币。投标文件中的单价和总价无特殊规定的采用人民币报价，以元为单位标注。招标文件中另有规定的按规定执行。</w:t>
      </w:r>
      <w:r/>
    </w:p>
    <w:p>
      <w:pPr>
        <w:ind w:firstLine="482"/>
        <w:jc w:val="left"/>
        <w:spacing w:line="560" w:lineRule="exact"/>
        <w:widowControl/>
        <w:rPr>
          <w:rFonts w:ascii="宋体" w:hAnsi="宋体" w:eastAsia="Arial" w:cs="宋体"/>
          <w:sz w:val="24"/>
          <w:szCs w:val="20"/>
        </w:rPr>
        <w:outlineLvl w:val="2"/>
      </w:pPr>
      <w:r>
        <w:rPr>
          <w:rFonts w:hint="eastAsia" w:ascii="宋体" w:hAnsi="宋体" w:eastAsia="Arial" w:cs="宋体"/>
          <w:b/>
          <w:bCs/>
          <w:sz w:val="24"/>
          <w:szCs w:val="20"/>
        </w:rPr>
        <w:t xml:space="preserve">13、技术要求响应及偏离表、商务要求响应及偏离表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13.1投标人需对招标文件中的技术要求与商务要求逐项作出响应或偏离，并说明原因。</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13.2投标人可在投标文件中提供认为需要的其他技术文件或说明。</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14、投标函和开标一览表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14.1投标人应按照招标文件中提供的格式完整、正确填写投标函、开标一览表。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14.2对于采用货币报价的项目，开标一览表中的投标总报价应与投标分项报价表中的投标总报价一致，如不一致，不作为无效投标处理，但评标时按开标一览表中价格为准。</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15、投标有效期</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15.1投标有效期为采购中心规定的开标之日后</w:t>
      </w:r>
      <w:r>
        <w:rPr>
          <w:rFonts w:hint="eastAsia" w:ascii="宋体" w:hAnsi="宋体" w:eastAsia="Arial" w:cs="宋体"/>
          <w:b/>
          <w:bCs/>
          <w:sz w:val="24"/>
          <w:szCs w:val="20"/>
          <w:u w:val="single"/>
        </w:rPr>
        <w:t xml:space="preserve">九十（90）天</w:t>
      </w:r>
      <w:r>
        <w:rPr>
          <w:rFonts w:hint="eastAsia" w:ascii="宋体" w:hAnsi="宋体" w:eastAsia="Arial" w:cs="宋体"/>
          <w:sz w:val="24"/>
          <w:szCs w:val="20"/>
        </w:rPr>
        <w:t xml:space="preserve">。投标有效期比规定短的将被视为未实质性响应招标文件而予以拒绝。</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16、投标有效期的延长</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bookmarkEnd w:id="76"/>
      <w:r/>
      <w:bookmarkEnd w:id="77"/>
      <w:r/>
      <w:bookmarkEnd w:id="78"/>
      <w:r/>
      <w:bookmarkEnd w:id="79"/>
      <w:r/>
      <w:r/>
    </w:p>
    <w:p>
      <w:pPr>
        <w:ind w:firstLine="482"/>
        <w:jc w:val="left"/>
        <w:spacing w:line="560" w:lineRule="exact"/>
        <w:widowControl/>
        <w:rPr>
          <w:rFonts w:ascii="宋体" w:hAnsi="宋体" w:eastAsia="Arial" w:cs="宋体"/>
          <w:b/>
          <w:bCs/>
          <w:sz w:val="24"/>
          <w:szCs w:val="20"/>
        </w:rPr>
        <w:outlineLvl w:val="1"/>
      </w:pPr>
      <w:r/>
      <w:bookmarkStart w:id="80" w:name="_Toc120614217"/>
      <w:r/>
      <w:bookmarkStart w:id="81" w:name="_Toc20823296"/>
      <w:r/>
      <w:bookmarkStart w:id="82" w:name="_Toc513029224"/>
      <w:r/>
      <w:bookmarkStart w:id="83" w:name="_Toc16938540"/>
      <w:r/>
      <w:bookmarkStart w:id="84" w:name="_Toc20823301"/>
      <w:r/>
      <w:bookmarkStart w:id="85" w:name="_Toc16938545"/>
      <w:r/>
      <w:bookmarkStart w:id="86" w:name="_Toc120614218"/>
      <w:r/>
      <w:bookmarkStart w:id="87" w:name="_Toc513029229"/>
      <w:r>
        <w:rPr>
          <w:rFonts w:hint="eastAsia" w:ascii="宋体" w:hAnsi="宋体" w:eastAsia="Arial" w:cs="宋体"/>
          <w:b/>
          <w:bCs/>
          <w:sz w:val="24"/>
          <w:szCs w:val="20"/>
        </w:rPr>
        <w:t xml:space="preserve">四、投标文件的递交</w:t>
      </w:r>
      <w:bookmarkEnd w:id="80"/>
      <w:r/>
      <w:bookmarkEnd w:id="81"/>
      <w:r/>
      <w:bookmarkEnd w:id="82"/>
      <w:r/>
      <w:bookmarkEnd w:id="83"/>
      <w:r/>
      <w:r/>
    </w:p>
    <w:p>
      <w:pPr>
        <w:ind w:firstLine="482"/>
        <w:jc w:val="left"/>
        <w:spacing w:line="560" w:lineRule="exact"/>
        <w:widowControl/>
        <w:rPr>
          <w:rFonts w:ascii="宋体" w:hAnsi="宋体" w:eastAsia="Arial" w:cs="宋体"/>
          <w:b/>
          <w:bCs/>
          <w:sz w:val="24"/>
          <w:szCs w:val="20"/>
        </w:rPr>
        <w:outlineLvl w:val="2"/>
      </w:pPr>
      <w:r/>
      <w:bookmarkStart w:id="88" w:name="_Toc513029225"/>
      <w:r/>
      <w:bookmarkStart w:id="89" w:name="_Toc462564084"/>
      <w:r/>
      <w:bookmarkStart w:id="90" w:name="_Toc16938541"/>
      <w:r/>
      <w:bookmarkStart w:id="91" w:name="_Toc20823297"/>
      <w:r>
        <w:rPr>
          <w:rFonts w:hint="eastAsia" w:ascii="宋体" w:hAnsi="宋体" w:eastAsia="Arial" w:cs="宋体"/>
          <w:b/>
          <w:bCs/>
          <w:sz w:val="24"/>
          <w:szCs w:val="20"/>
        </w:rPr>
        <w:t xml:space="preserve">17、投标文件</w:t>
      </w:r>
      <w:bookmarkEnd w:id="88"/>
      <w:r/>
      <w:bookmarkEnd w:id="89"/>
      <w:r/>
      <w:bookmarkEnd w:id="90"/>
      <w:r/>
      <w:bookmarkEnd w:id="91"/>
      <w:r>
        <w:rPr>
          <w:rFonts w:hint="eastAsia" w:ascii="宋体" w:hAnsi="宋体" w:eastAsia="Arial" w:cs="宋体"/>
          <w:b/>
          <w:bCs/>
          <w:sz w:val="24"/>
          <w:szCs w:val="20"/>
        </w:rPr>
        <w:t xml:space="preserve">的递交</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17.1 电子投标文件的递交</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投标人应当按照《操作手册》规定，在投标截止时间前制作并上传电子投标文件。</w:t>
      </w:r>
      <w:bookmarkStart w:id="92" w:name="_Toc20823298"/>
      <w:r/>
      <w:bookmarkEnd w:id="92"/>
      <w:r/>
      <w:bookmarkStart w:id="93" w:name="_Toc16938542"/>
      <w:r/>
      <w:bookmarkEnd w:id="93"/>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18、投标截止时间</w:t>
      </w:r>
      <w:r/>
    </w:p>
    <w:p>
      <w:pPr>
        <w:ind w:firstLine="482"/>
        <w:jc w:val="left"/>
        <w:spacing w:line="560" w:lineRule="exact"/>
        <w:widowControl/>
        <w:rPr>
          <w:rFonts w:ascii="宋体" w:hAnsi="宋体" w:eastAsia="Arial" w:cs="宋体"/>
          <w:sz w:val="24"/>
          <w:szCs w:val="20"/>
        </w:rPr>
      </w:pPr>
      <w:r>
        <w:rPr>
          <w:rFonts w:hint="eastAsia" w:ascii="宋体" w:hAnsi="宋体" w:eastAsia="Arial" w:cs="宋体"/>
          <w:i/>
          <w:iCs/>
          <w:sz w:val="24"/>
          <w:szCs w:val="20"/>
          <w:u w:val="single"/>
        </w:rPr>
        <w:t xml:space="preserve">18.1投标人上传电子投标文件的时间不得迟于招标公告中规定的投标截止时间</w:t>
      </w:r>
      <w:r>
        <w:rPr>
          <w:rFonts w:hint="eastAsia" w:ascii="宋体" w:hAnsi="宋体" w:eastAsia="Arial"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投标人应</w:t>
      </w:r>
      <w:r>
        <w:rPr>
          <w:rFonts w:hint="eastAsia" w:ascii="宋体" w:hAnsi="宋体" w:eastAsia="宋体" w:cs="宋体"/>
          <w:sz w:val="24"/>
          <w:szCs w:val="20"/>
        </w:rPr>
        <w:t xml:space="preserve">充分考虑</w:t>
      </w:r>
      <w:r>
        <w:rPr>
          <w:rFonts w:hint="eastAsia" w:ascii="宋体" w:hAnsi="宋体" w:eastAsia="Arial" w:cs="宋体"/>
          <w:sz w:val="24"/>
          <w:szCs w:val="20"/>
        </w:rPr>
        <w:t xml:space="preserve">网络环境、网络带宽等风险因素，如因投标人自身原因造成的电子投标文件上传不成功的按照本招标文件第二章第26.1.2条 规定做无效投标处理。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18.2采购中心可以按照规定，通过修改招标文件酌情延长投标截止时间，在此情况下，投标人的所有权利和义务以及投标人受制的截止时间均应以延长后新的截止时间为准。</w:t>
      </w:r>
      <w:r/>
    </w:p>
    <w:p>
      <w:pPr>
        <w:ind w:firstLine="482"/>
        <w:jc w:val="left"/>
        <w:spacing w:line="560" w:lineRule="exact"/>
        <w:widowControl/>
        <w:rPr>
          <w:rFonts w:ascii="宋体" w:hAnsi="宋体" w:eastAsia="Arial" w:cs="宋体"/>
          <w:b/>
          <w:bCs/>
          <w:sz w:val="24"/>
          <w:szCs w:val="20"/>
        </w:rPr>
        <w:outlineLvl w:val="2"/>
      </w:pPr>
      <w:r/>
      <w:bookmarkStart w:id="94" w:name="_Toc20823299"/>
      <w:r/>
      <w:bookmarkStart w:id="95" w:name="_Toc513029227"/>
      <w:r/>
      <w:bookmarkStart w:id="96" w:name="_Toc16938543"/>
      <w:r>
        <w:rPr>
          <w:rFonts w:hint="eastAsia" w:ascii="宋体" w:hAnsi="宋体" w:eastAsia="Arial" w:cs="宋体"/>
          <w:b/>
          <w:bCs/>
          <w:sz w:val="24"/>
          <w:szCs w:val="20"/>
        </w:rPr>
        <w:t xml:space="preserve">19、投标文件</w:t>
      </w:r>
      <w:bookmarkEnd w:id="94"/>
      <w:r/>
      <w:bookmarkEnd w:id="95"/>
      <w:r/>
      <w:bookmarkEnd w:id="96"/>
      <w:r>
        <w:rPr>
          <w:rFonts w:hint="eastAsia" w:ascii="宋体" w:hAnsi="宋体" w:eastAsia="Arial" w:cs="宋体"/>
          <w:b/>
          <w:bCs/>
          <w:sz w:val="24"/>
          <w:szCs w:val="20"/>
        </w:rPr>
        <w:t xml:space="preserve">的拒收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19.1采购中心拒绝接收在其规定的投标截止时间后上传的任何投标文件。</w:t>
      </w:r>
      <w:r/>
    </w:p>
    <w:p>
      <w:pPr>
        <w:ind w:firstLine="482"/>
        <w:jc w:val="left"/>
        <w:spacing w:line="560" w:lineRule="exact"/>
        <w:widowControl/>
        <w:rPr>
          <w:rFonts w:ascii="宋体" w:hAnsi="宋体" w:eastAsia="Arial" w:cs="宋体"/>
          <w:b/>
          <w:bCs/>
          <w:sz w:val="24"/>
          <w:szCs w:val="20"/>
        </w:rPr>
        <w:outlineLvl w:val="2"/>
      </w:pPr>
      <w:r/>
      <w:bookmarkStart w:id="97" w:name="_Toc16938544"/>
      <w:r/>
      <w:bookmarkStart w:id="98" w:name="_Toc513029228"/>
      <w:r/>
      <w:bookmarkStart w:id="99" w:name="_Toc20823300"/>
      <w:r>
        <w:rPr>
          <w:rFonts w:hint="eastAsia" w:ascii="宋体" w:hAnsi="宋体" w:eastAsia="Arial" w:cs="宋体"/>
          <w:b/>
          <w:bCs/>
          <w:sz w:val="24"/>
          <w:szCs w:val="20"/>
        </w:rPr>
        <w:t xml:space="preserve">20、投标文件的撤回和修改</w:t>
      </w:r>
      <w:bookmarkEnd w:id="97"/>
      <w:r/>
      <w:bookmarkEnd w:id="98"/>
      <w:r/>
      <w:bookmarkEnd w:id="99"/>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20.1投标文件的撤回</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20.1.1电子投标文件的撤回</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投标人可在投标截止时间前，撤回其电子投标文件，具体操作方法见《操作手册》。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20.1.2投标人撤回电子投标文件，则认为其不再参与本项目投标活动。</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20.2 投标文件的修改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20.2.1投标人可在投标截止时间前，对其电子投标文件进行修改，具体操作方法见《操作手册》。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20.2.2在投标截止时间之后，投标人不得对其电子投标文件作任何修改。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20.3在投标截止时间至招标文件中规定的投标有效期满之间的这段时间内，投标人不得撤回其投标。</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五、开标与评标</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21、开标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21.1采购中心将在招标公告中规定的时间和地点组织公开开标。投标人应当按照《操作手册》规定，参加开标活动和在苏采云系统规定的时间内对投标文件进行解密。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21.2开标仪式由采购中心组织。苏采云系统将自动对项目进行开标，并宣布各投标人名称和投标价格。</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21.3投标人在开标过程中涉及到的投标文件解密、开标结果确认等工作，应按照《操作手册》规定执行。</w:t>
      </w:r>
      <w:r/>
    </w:p>
    <w:p>
      <w:pPr>
        <w:ind w:firstLine="482"/>
        <w:jc w:val="left"/>
        <w:spacing w:line="560" w:lineRule="exact"/>
        <w:widowControl/>
        <w:rPr>
          <w:rFonts w:hint="eastAsia" w:ascii="宋体" w:hAnsi="宋体" w:cs="宋体"/>
          <w:sz w:val="24"/>
          <w:szCs w:val="20"/>
        </w:rPr>
      </w:pPr>
      <w:r>
        <w:rPr>
          <w:rFonts w:hint="eastAsia" w:ascii="宋体" w:hAnsi="宋体" w:eastAsia="Arial" w:cs="宋体"/>
          <w:sz w:val="24"/>
          <w:szCs w:val="20"/>
        </w:rPr>
        <w:t xml:space="preserve">21.4投标人如果对开标过程和开标记录有疑义，应当根据《操作手册》规定提出，如苏采云系统中《开标记录表》宣布后5分钟内未提出的，视同认可开标结果。</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22、评标委员会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22.1开标后，采购中心将立即组织评标委员会（以下简称评委会）进行评标。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22.2评委会由</w:t>
      </w:r>
      <w:r>
        <w:rPr>
          <w:rFonts w:hint="eastAsia" w:ascii="宋体" w:hAnsi="宋体" w:eastAsia="宋体" w:cs="宋体"/>
          <w:sz w:val="24"/>
          <w:szCs w:val="20"/>
          <w:lang w:eastAsia="zh-CN"/>
        </w:rPr>
        <w:t xml:space="preserve">采购人</w:t>
      </w:r>
      <w:r>
        <w:rPr>
          <w:rFonts w:hint="eastAsia" w:ascii="宋体" w:hAnsi="宋体" w:eastAsia="Arial" w:cs="宋体"/>
          <w:sz w:val="24"/>
          <w:szCs w:val="20"/>
        </w:rPr>
        <w:t xml:space="preserve">代表和有关技术、经济等方面的专家组成，且人员构成符合政府采购有关规定。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22.3评委会独立工作，负责评审所有投标文件并确定中标候选人。</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23、评标过程的保密与公正</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23.1凡是与审查、澄清、评价和比较投标的有关资料以及授标建议等，</w:t>
      </w:r>
      <w:r>
        <w:rPr>
          <w:rFonts w:hint="eastAsia" w:ascii="宋体" w:hAnsi="宋体" w:eastAsia="宋体" w:cs="宋体"/>
          <w:sz w:val="24"/>
          <w:szCs w:val="20"/>
          <w:lang w:eastAsia="zh-CN"/>
        </w:rPr>
        <w:t xml:space="preserve">采购人</w:t>
      </w:r>
      <w:r>
        <w:rPr>
          <w:rFonts w:hint="eastAsia" w:ascii="宋体" w:hAnsi="宋体" w:eastAsia="Arial" w:cs="宋体"/>
          <w:sz w:val="24"/>
          <w:szCs w:val="20"/>
        </w:rPr>
        <w:t xml:space="preserve">、评委、采购中心均不得向投标人或与评标无关的其他人员透露。</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23.2在评标过程中，投标人不得以任何行为影响评标过程，否则其投标文件将被作为无效投标文件。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23.3采购中心和评标委员会不向未中标的投标人解释未中标原因，也不公布评标过程中的相关细节。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23.4采用综合评分法的项目，未中标的投标人可于中标结果公告期限届满之日起通过苏采云系统查看自己的评审得分及排序情况。</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24、投标文件的澄清</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24.1评标期间，评委会对投标文件中含义不明确、同类问题表述不一致或者有明显文字和计算错误的内容</w:t>
      </w:r>
      <w:r>
        <w:rPr>
          <w:rFonts w:hint="eastAsia" w:ascii="宋体" w:hAnsi="宋体" w:eastAsia="宋体" w:cs="宋体"/>
          <w:sz w:val="24"/>
          <w:szCs w:val="20"/>
        </w:rPr>
        <w:t xml:space="preserve">，</w:t>
      </w:r>
      <w:r>
        <w:rPr>
          <w:rFonts w:hint="eastAsia" w:ascii="宋体" w:hAnsi="宋体" w:eastAsia="Arial" w:cs="宋体"/>
          <w:sz w:val="24"/>
          <w:szCs w:val="20"/>
        </w:rPr>
        <w:t xml:space="preserve">有权要求投标人作出必要的澄清、说明或者补正。</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投标人的澄清、说明或者补正不得超出投标文件的范围或者改变投标文件的实质性内容。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评标委员会并非对每个投标人都做澄清要求。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24.2需要</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进行澄清、说明和补正的，评委会将通过苏采云系统向</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widowControl/>
        <w:rPr>
          <w:rFonts w:ascii="宋体" w:hAnsi="宋体" w:eastAsia="Arial" w:cs="宋体"/>
          <w:sz w:val="24"/>
          <w:szCs w:val="20"/>
        </w:rPr>
      </w:pPr>
      <w:r>
        <w:rPr>
          <w:rFonts w:hint="eastAsia" w:ascii="宋体" w:hAnsi="宋体" w:eastAsia="Arial" w:cs="宋体"/>
          <w:sz w:val="24"/>
          <w:szCs w:val="20"/>
        </w:rPr>
        <w:t xml:space="preserve">24.3接到评委会澄清、说明和补正要求的投标人如未按规定作出澄清、说明和补正，其风险由投标人自行承担。</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25、对投标文件的初审</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25.1投标文件初审分为资格审查和符合性审查。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25.1.1资格审查：依据法律法规和招标文件的规定，由</w:t>
      </w:r>
      <w:r>
        <w:rPr>
          <w:rFonts w:hint="eastAsia" w:ascii="宋体" w:hAnsi="宋体" w:eastAsia="宋体" w:cs="宋体"/>
          <w:sz w:val="24"/>
          <w:szCs w:val="20"/>
          <w:lang w:eastAsia="zh-CN"/>
        </w:rPr>
        <w:t xml:space="preserve">采购人</w:t>
      </w:r>
      <w:r>
        <w:rPr>
          <w:rFonts w:hint="eastAsia" w:ascii="宋体" w:hAnsi="宋体" w:eastAsia="Arial" w:cs="宋体"/>
          <w:sz w:val="24"/>
          <w:szCs w:val="20"/>
        </w:rPr>
        <w:t xml:space="preserve">对投标文件中的资格证明文件进行审查。资格审查的结论，</w:t>
      </w:r>
      <w:r>
        <w:rPr>
          <w:rFonts w:hint="eastAsia" w:ascii="宋体" w:hAnsi="宋体" w:eastAsia="宋体" w:cs="宋体"/>
          <w:sz w:val="24"/>
          <w:szCs w:val="20"/>
          <w:lang w:eastAsia="zh-CN"/>
        </w:rPr>
        <w:t xml:space="preserve">采购人</w:t>
      </w:r>
      <w:r>
        <w:rPr>
          <w:rFonts w:hint="eastAsia" w:ascii="宋体" w:hAnsi="宋体" w:eastAsia="Arial" w:cs="宋体"/>
          <w:sz w:val="24"/>
          <w:szCs w:val="20"/>
        </w:rPr>
        <w:t xml:space="preserve">以书面形式向评委会进行反馈。</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lang w:eastAsia="zh-CN"/>
        </w:rPr>
        <w:t xml:space="preserve">采购人</w:t>
      </w:r>
      <w:r>
        <w:rPr>
          <w:rFonts w:hint="eastAsia" w:ascii="宋体" w:hAnsi="宋体" w:eastAsia="Arial" w:cs="宋体"/>
          <w:sz w:val="24"/>
          <w:szCs w:val="20"/>
        </w:rPr>
        <w:t xml:space="preserve">在进行资格性审查的同时，将在“信用中国”网站（www.creditchina.gov.cn）查询投标人的信用记录，以确定投标人是否具备投标资格,查询结果留存并归档。</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接受联合体的项目，两个以上的自然人、法人或者其他组织组成一个联合体，以一个</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的身份共同参加政府采购活动的,联合体成员存在不良信用记录的，视同联合体存在不良应用记录。</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25.1.2符合性审查：依据招标文件的规定，由评委会从投标文件的有效性、完整性和对招标文件的响应程度进行审查，以确定是否对招标文件的实质性要求作出响应。</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25.3如果投标文件实质上没有响应招标文件的要求，评委会将予以拒绝，投标人不得通过修改或撤销</w:t>
      </w:r>
      <w:r>
        <w:rPr>
          <w:rFonts w:hint="eastAsia" w:ascii="宋体" w:hAnsi="宋体" w:eastAsia="宋体" w:cs="宋体"/>
          <w:sz w:val="24"/>
          <w:szCs w:val="20"/>
        </w:rPr>
        <w:t xml:space="preserve">不符</w:t>
      </w:r>
      <w:r>
        <w:rPr>
          <w:rFonts w:hint="eastAsia" w:ascii="宋体" w:hAnsi="宋体" w:eastAsia="Arial" w:cs="宋体"/>
          <w:sz w:val="24"/>
          <w:szCs w:val="20"/>
        </w:rPr>
        <w:t xml:space="preserve">合要求的偏离或保留而使其投标成为实质性响应的投标。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25.4评委会将对确定为实质性响应的投标进行进一步审核，确定其是否有计算上或累加上的算术错误，修正错误的原则如下：</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（1）投标文件中开标一览表内容与投标文件中相应内容不一致的，以开标一览表为准。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（2）大写金额和小写金额不一致的，以大写金额为准。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（3）单价金额小数点或者百分比有明显错位的，以开标一览表的总价为准，并修改单价。</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（4）总价金额与按单价汇总金额不一致的，以单价金额计算结果为准。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同时出现两种以上错误的，按照前款规定的顺序修正。</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25.6投标人在开、评标全过程中应保持通信畅通，及时登录苏采云系统查阅、答复相关信息，并安排专人与采购中心及评标委员会联系。</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26、无效投标条款和废标条款</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26.1无效投标条款</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26.1.1投标人在苏采云系统规定的时间内未成功解密电子投标文件的。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26.1.2投标人未按照招标文件要求上传电子投标文件的。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26.1.3同一投标人提交两个（含两个）以上不同的投标报价的。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26.1.4投标人不具备招标文件中规</w:t>
      </w:r>
      <w:r>
        <w:rPr>
          <w:rFonts w:hint="eastAsia" w:ascii="宋体" w:hAnsi="宋体" w:eastAsia="宋体" w:cs="宋体"/>
          <w:sz w:val="24"/>
          <w:szCs w:val="20"/>
        </w:rPr>
        <w:t xml:space="preserve">定的</w:t>
      </w:r>
      <w:r>
        <w:rPr>
          <w:rFonts w:hint="eastAsia" w:ascii="宋体" w:hAnsi="宋体" w:eastAsia="Arial" w:cs="宋体"/>
          <w:sz w:val="24"/>
          <w:szCs w:val="20"/>
        </w:rPr>
        <w:t xml:space="preserve">资格要求的。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26.1.5投标人的报价超过了采购预算或最高限价的。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26.1.6未通过符合性审查的。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26.1.7不符合招标文件中规定的实质性要求和条件的</w:t>
      </w:r>
      <w:r>
        <w:rPr>
          <w:rFonts w:hint="eastAsia" w:ascii="宋体" w:hAnsi="宋体" w:eastAsia="Arial" w:cs="宋体"/>
          <w:i/>
          <w:iCs/>
          <w:sz w:val="24"/>
          <w:szCs w:val="20"/>
          <w:u w:val="single"/>
        </w:rPr>
        <w:t xml:space="preserve">（本招标文件中斜体且有下划线部分为实质性要求和条件）</w:t>
      </w:r>
      <w:r>
        <w:rPr>
          <w:rFonts w:hint="eastAsia" w:ascii="宋体" w:hAnsi="宋体" w:eastAsia="Arial"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26.1.9投标文件含有</w:t>
      </w:r>
      <w:r>
        <w:rPr>
          <w:rFonts w:hint="eastAsia" w:ascii="宋体" w:hAnsi="宋体" w:eastAsia="宋体" w:cs="宋体"/>
          <w:sz w:val="24"/>
          <w:szCs w:val="20"/>
          <w:lang w:eastAsia="zh-CN"/>
        </w:rPr>
        <w:t xml:space="preserve">采购人</w:t>
      </w:r>
      <w:r>
        <w:rPr>
          <w:rFonts w:hint="eastAsia" w:ascii="宋体" w:hAnsi="宋体" w:eastAsia="Arial" w:cs="宋体"/>
          <w:sz w:val="24"/>
          <w:szCs w:val="20"/>
        </w:rPr>
        <w:t xml:space="preserve">不能接受的附加条件的。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（一）评审过程中出现下列情形之一的，评标委员会应当启动异常低价投标审查程序：</w:t>
      </w:r>
      <w:r/>
    </w:p>
    <w:p>
      <w:pPr>
        <w:ind w:firstLine="482"/>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1.投标报价低于采购项目预算50%的，即投标报价&lt;采购项目预算×50%；</w:t>
      </w:r>
      <w:r/>
    </w:p>
    <w:p>
      <w:pPr>
        <w:ind w:firstLine="482"/>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2.投标报价低于采购项目最高限价45%的，即投标报价&lt;采购项目最高限价×45%；</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3.评标委员会认定的</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报价过低、有可能影响产品质量或者不能诚信履约的其他情形。</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（二）启动异常低价投标审查后，评标委员会应当要求相关</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在评标现场合理的时间内，提供项目具体成本测算等与报价合理性相关的书面说明及相关证明材料，对投标价格作出解释，由评标委员会结合同类产品在主要电商平台的价格、该行业当地薪资水平等情况，依据专业经验对</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报价合理性进行判断。</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不提供书面说明、证明材料，或者提供的书面说明、证明材料不能证明其报价合理性的，评标委员会应当将其作为无效投标处理。审查相关情况应当在评审报告中进行记录。</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26.1.11投标文件未按照招标文件要求加盖CA电子公章的。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26.1.12其他法律、法规及本招标文件规定的属无效投标的情形。</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26.2废标条款</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26.2.1符合专业条件的</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或者对招标文件作实质响应的</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不足三家的。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26.2.2出现影响采购公正的违法、违规行为的。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26.2.3因重大变故，采购任务取消的。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26.2.4评标委员会认定招标文件存在歧义、重大缺陷导致评审工作无法进行。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26.2.5因苏采云</w:t>
      </w:r>
      <w:r>
        <w:rPr>
          <w:rFonts w:hint="eastAsia" w:ascii="宋体" w:hAnsi="宋体" w:eastAsia="宋体" w:cs="宋体"/>
          <w:sz w:val="24"/>
          <w:szCs w:val="20"/>
        </w:rPr>
        <w:t xml:space="preserve">系统故障</w:t>
      </w:r>
      <w:r>
        <w:rPr>
          <w:rFonts w:hint="eastAsia" w:ascii="宋体" w:hAnsi="宋体" w:eastAsia="Arial" w:cs="宋体"/>
          <w:sz w:val="24"/>
          <w:szCs w:val="20"/>
        </w:rPr>
        <w:t xml:space="preserve">原因造成开标不成功的。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26.3 投标截止时间结束后参加投标的</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不足三家的处理：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26.3.1如出现投标截止时间结束后参加投标的</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或者在评标期间对招标文件做出实质响应的</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不足三家情况，按政府采购相关规定执行。</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六、定标</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27、确定中标单位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27.1中标候选人的选取原则和数量见招标文件第五章规定。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27.2</w:t>
      </w:r>
      <w:r>
        <w:rPr>
          <w:rFonts w:hint="eastAsia" w:ascii="宋体" w:hAnsi="宋体" w:eastAsia="宋体" w:cs="宋体"/>
          <w:sz w:val="24"/>
          <w:szCs w:val="20"/>
          <w:lang w:eastAsia="zh-CN"/>
        </w:rPr>
        <w:t xml:space="preserve">采购人</w:t>
      </w:r>
      <w:r>
        <w:rPr>
          <w:rFonts w:hint="eastAsia" w:ascii="宋体" w:hAnsi="宋体" w:eastAsia="Arial" w:cs="宋体"/>
          <w:sz w:val="24"/>
          <w:szCs w:val="20"/>
        </w:rPr>
        <w:t xml:space="preserve">应根据评委会推荐的中标候选人确定中标人。</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27.3采购中心将在</w:t>
      </w:r>
      <w:r>
        <w:rPr>
          <w:rFonts w:hint="eastAsia" w:ascii="宋体" w:hAnsi="宋体" w:eastAsia="宋体" w:cs="宋体"/>
          <w:sz w:val="24"/>
          <w:szCs w:val="20"/>
        </w:rPr>
        <w:t xml:space="preserve">“</w:t>
      </w:r>
      <w:r>
        <w:rPr>
          <w:rFonts w:hint="eastAsia" w:ascii="宋体" w:hAnsi="宋体" w:eastAsia="Arial" w:cs="宋体"/>
          <w:sz w:val="24"/>
          <w:szCs w:val="20"/>
        </w:rPr>
        <w:t xml:space="preserve">中国政府采购网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w:t>
      </w:r>
      <w:r>
        <w:rPr>
          <w:rFonts w:hint="eastAsia" w:ascii="宋体" w:hAnsi="宋体" w:eastAsia="Arial" w:cs="宋体"/>
          <w:sz w:val="24"/>
          <w:szCs w:val="20"/>
        </w:rPr>
        <w:t xml:space="preserve">江苏政府采购网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“盐城市</w:t>
      </w:r>
      <w:r>
        <w:rPr>
          <w:rFonts w:hint="eastAsia" w:ascii="宋体" w:hAnsi="宋体" w:eastAsia="Arial" w:cs="宋体"/>
          <w:sz w:val="24"/>
          <w:szCs w:val="20"/>
        </w:rPr>
        <w:t xml:space="preserve">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发布中标公告，公告期限为1个工作日。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27.4若有充分证据证明，中标人出现下列情况之一的，一经查实，将被取消中标资格：</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27.4.1提供虚假材料谋取中标的。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27.4.2向</w:t>
      </w:r>
      <w:r>
        <w:rPr>
          <w:rFonts w:hint="eastAsia" w:ascii="宋体" w:hAnsi="宋体" w:eastAsia="宋体" w:cs="宋体"/>
          <w:sz w:val="24"/>
          <w:szCs w:val="20"/>
          <w:lang w:eastAsia="zh-CN"/>
        </w:rPr>
        <w:t xml:space="preserve">采购人</w:t>
      </w:r>
      <w:r>
        <w:rPr>
          <w:rFonts w:hint="eastAsia" w:ascii="宋体" w:hAnsi="宋体" w:eastAsia="Arial" w:cs="宋体"/>
          <w:sz w:val="24"/>
          <w:szCs w:val="20"/>
        </w:rPr>
        <w:t xml:space="preserve">、采购中心行贿或者提供其他不正当利益的。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27.4.3属于本文件规定的无效条件，但在评标过程中又未被评委会发现的。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27.4.4与</w:t>
      </w:r>
      <w:r>
        <w:rPr>
          <w:rFonts w:hint="eastAsia" w:ascii="宋体" w:hAnsi="宋体" w:eastAsia="宋体" w:cs="宋体"/>
          <w:sz w:val="24"/>
          <w:szCs w:val="20"/>
          <w:lang w:eastAsia="zh-CN"/>
        </w:rPr>
        <w:t xml:space="preserve">采购人</w:t>
      </w:r>
      <w:r>
        <w:rPr>
          <w:rFonts w:hint="eastAsia" w:ascii="宋体" w:hAnsi="宋体" w:eastAsia="Arial" w:cs="宋体"/>
          <w:sz w:val="24"/>
          <w:szCs w:val="20"/>
        </w:rPr>
        <w:t xml:space="preserve">或者其他</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恶意串通的。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27.4.5采取不正当手段诋毁、排挤其他</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 有下列情形之一的，视为投标人串通投标，投标无效：</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27.5.1不同投标人的投标文件由同一单位或者个人编制。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27.5.2不同投标人委托同一单位或者个人办理投标事宜。</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27.5.3不同投标人的投标文件载明的项目管理成员或者联系人员为同一人。</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27.5.4不同投标人的投标文件异常一致或者投标报价呈规律性差异。</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28、质疑处理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28.1提出质疑的</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应当是参与所质疑项目采购活动的</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。潜在</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依法获取其可质疑的采购文件的，可以对采购文件提出质疑。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28.2</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认为采购文件、采购过程和采购结果使自己的权益受到损害的，可以在知道或应知其权益受到损害之日起七个工作日内，以书面形式根据下述28.4条款的规定向采购中心或</w:t>
      </w:r>
      <w:r>
        <w:rPr>
          <w:rFonts w:hint="eastAsia" w:ascii="宋体" w:hAnsi="宋体" w:eastAsia="宋体" w:cs="宋体"/>
          <w:sz w:val="24"/>
          <w:szCs w:val="20"/>
          <w:lang w:eastAsia="zh-CN"/>
        </w:rPr>
        <w:t xml:space="preserve">采购人</w:t>
      </w:r>
      <w:r>
        <w:rPr>
          <w:rFonts w:hint="eastAsia" w:ascii="宋体" w:hAnsi="宋体" w:eastAsia="Arial" w:cs="宋体"/>
          <w:sz w:val="24"/>
          <w:szCs w:val="20"/>
        </w:rPr>
        <w:t xml:space="preserve">提出质疑。上述应知其权益受到损害之日，是指：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28.2.1对可以质疑的采购文件提出质疑的，为收到采购文件之日或者采购文件公告期限届满之日；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28.2.2对采购过程提出质疑的，为各采购程序环节结束之日；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28.2.3对中标或者成交结果提出质疑的，为中标或者成交结果公告期限届满之日。</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应当在法定质疑期内一次性提出针对同一采购程序环节的质疑。</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如在法定期限内对同一采购程序环节提出多次质疑的，采购中心、</w:t>
      </w:r>
      <w:r>
        <w:rPr>
          <w:rFonts w:hint="eastAsia" w:ascii="宋体" w:hAnsi="宋体" w:eastAsia="宋体" w:cs="宋体"/>
          <w:sz w:val="24"/>
          <w:szCs w:val="20"/>
          <w:lang w:eastAsia="zh-CN"/>
        </w:rPr>
        <w:t xml:space="preserve">采购人</w:t>
      </w:r>
      <w:r>
        <w:rPr>
          <w:rFonts w:hint="eastAsia" w:ascii="宋体" w:hAnsi="宋体" w:eastAsia="Arial" w:cs="宋体"/>
          <w:sz w:val="24"/>
          <w:szCs w:val="20"/>
        </w:rPr>
        <w:t xml:space="preserve">将只对</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第一次质疑作出答复。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28.3质疑函必须按照本招标文件中《质疑函范本》要求的格式和内容进行填写。</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如组成联合体参加投标，则《质疑函范本》中要求签字、盖章、加盖公章之处，联合体各方均须按要求签字、盖章、加盖公章。</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sz w:val="24"/>
          <w:szCs w:val="20"/>
        </w:rPr>
        <w:t xml:space="preserve">28.4</w:t>
      </w:r>
      <w:r>
        <w:rPr>
          <w:rFonts w:hint="eastAsia" w:ascii="宋体" w:hAnsi="宋体" w:eastAsia="宋体" w:cs="宋体"/>
          <w:b/>
          <w:bCs/>
          <w:sz w:val="24"/>
          <w:szCs w:val="20"/>
          <w:lang w:eastAsia="zh-CN"/>
        </w:rPr>
        <w:t xml:space="preserve">投标人</w:t>
      </w:r>
      <w:r>
        <w:rPr>
          <w:rFonts w:hint="eastAsia" w:ascii="宋体" w:hAnsi="宋体" w:eastAsia="Arial" w:cs="宋体"/>
          <w:b/>
          <w:bCs/>
          <w:sz w:val="24"/>
          <w:szCs w:val="20"/>
        </w:rPr>
        <w:t xml:space="preserve">（含潜在</w:t>
      </w:r>
      <w:r>
        <w:rPr>
          <w:rFonts w:hint="eastAsia" w:ascii="宋体" w:hAnsi="宋体" w:eastAsia="宋体" w:cs="宋体"/>
          <w:b/>
          <w:bCs/>
          <w:sz w:val="24"/>
          <w:szCs w:val="20"/>
          <w:lang w:eastAsia="zh-CN"/>
        </w:rPr>
        <w:t xml:space="preserve">投标人</w:t>
      </w:r>
      <w:r>
        <w:rPr>
          <w:rFonts w:hint="eastAsia" w:ascii="宋体" w:hAnsi="宋体" w:eastAsia="Arial" w:cs="宋体"/>
          <w:b/>
          <w:bCs/>
          <w:sz w:val="24"/>
          <w:szCs w:val="20"/>
        </w:rPr>
        <w:t xml:space="preserve">）对</w:t>
      </w:r>
      <w:r>
        <w:rPr>
          <w:rFonts w:hint="eastAsia" w:ascii="宋体" w:hAnsi="宋体" w:eastAsia="宋体" w:cs="宋体"/>
          <w:b/>
          <w:bCs/>
          <w:sz w:val="24"/>
          <w:szCs w:val="20"/>
          <w:lang w:eastAsia="zh-CN"/>
        </w:rPr>
        <w:t xml:space="preserve">采购</w:t>
      </w:r>
      <w:r>
        <w:rPr>
          <w:rFonts w:hint="eastAsia" w:ascii="宋体" w:hAnsi="宋体" w:eastAsia="宋体" w:cs="宋体"/>
          <w:b/>
          <w:bCs/>
          <w:sz w:val="24"/>
          <w:szCs w:val="20"/>
          <w:lang w:val="en-US" w:eastAsia="zh-CN"/>
        </w:rPr>
        <w:t xml:space="preserve">方</w:t>
      </w:r>
      <w:r>
        <w:rPr>
          <w:rFonts w:hint="eastAsia" w:ascii="宋体" w:hAnsi="宋体" w:eastAsia="Arial" w:cs="宋体"/>
          <w:b/>
          <w:bCs/>
          <w:sz w:val="24"/>
          <w:szCs w:val="20"/>
        </w:rPr>
        <w:t xml:space="preserve">式、采购需求、</w:t>
      </w:r>
      <w:r>
        <w:rPr>
          <w:rFonts w:hint="eastAsia" w:ascii="宋体" w:hAnsi="宋体" w:eastAsia="宋体" w:cs="宋体"/>
          <w:b/>
          <w:bCs/>
          <w:sz w:val="24"/>
          <w:szCs w:val="20"/>
          <w:lang w:eastAsia="zh-CN"/>
        </w:rPr>
        <w:t xml:space="preserve">投标人</w:t>
      </w:r>
      <w:r>
        <w:rPr>
          <w:rFonts w:hint="eastAsia" w:ascii="宋体" w:hAnsi="宋体" w:eastAsia="Arial" w:cs="宋体"/>
          <w:b/>
          <w:bCs/>
          <w:sz w:val="24"/>
          <w:szCs w:val="20"/>
        </w:rPr>
        <w:t xml:space="preserve">资格条件及审查结果、评标方法和评标标准、合同文本的询问、质疑请向</w:t>
      </w:r>
      <w:r>
        <w:rPr>
          <w:rFonts w:hint="eastAsia" w:ascii="宋体" w:hAnsi="宋体" w:eastAsia="宋体" w:cs="宋体"/>
          <w:b/>
          <w:bCs/>
          <w:sz w:val="24"/>
          <w:szCs w:val="20"/>
          <w:lang w:eastAsia="zh-CN"/>
        </w:rPr>
        <w:t xml:space="preserve">采购人</w:t>
      </w:r>
      <w:r>
        <w:rPr>
          <w:rFonts w:hint="eastAsia" w:ascii="宋体" w:hAnsi="宋体" w:eastAsia="Arial" w:cs="宋体"/>
          <w:b/>
          <w:bCs/>
          <w:sz w:val="24"/>
          <w:szCs w:val="20"/>
        </w:rPr>
        <w:t xml:space="preserve">提出，由</w:t>
      </w:r>
      <w:r>
        <w:rPr>
          <w:rFonts w:hint="eastAsia" w:ascii="宋体" w:hAnsi="宋体" w:eastAsia="宋体" w:cs="宋体"/>
          <w:b/>
          <w:bCs/>
          <w:sz w:val="24"/>
          <w:szCs w:val="20"/>
          <w:lang w:eastAsia="zh-CN"/>
        </w:rPr>
        <w:t xml:space="preserve">采购人</w:t>
      </w:r>
      <w:r>
        <w:rPr>
          <w:rFonts w:hint="eastAsia" w:ascii="宋体" w:hAnsi="宋体" w:eastAsia="Arial" w:cs="宋体"/>
          <w:b/>
          <w:bCs/>
          <w:sz w:val="24"/>
          <w:szCs w:val="20"/>
        </w:rPr>
        <w:t xml:space="preserve">负责答复。</w:t>
      </w:r>
      <w:r>
        <w:rPr>
          <w:rFonts w:hint="eastAsia" w:ascii="宋体" w:hAnsi="宋体" w:eastAsia="宋体" w:cs="宋体"/>
          <w:b/>
          <w:bCs/>
          <w:sz w:val="24"/>
          <w:szCs w:val="20"/>
          <w:lang w:eastAsia="zh-CN"/>
        </w:rPr>
        <w:t xml:space="preserve">投标人</w:t>
      </w:r>
      <w:r>
        <w:rPr>
          <w:rFonts w:hint="eastAsia" w:ascii="宋体" w:hAnsi="宋体" w:eastAsia="Arial" w:cs="宋体"/>
          <w:b/>
          <w:bCs/>
          <w:sz w:val="24"/>
          <w:szCs w:val="20"/>
        </w:rPr>
        <w:t xml:space="preserve">对除上述事项以外其他事项的询问、质疑请向采购中心提出，由采购中心负责答复。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采购中心及</w:t>
      </w:r>
      <w:r>
        <w:rPr>
          <w:rFonts w:hint="eastAsia" w:ascii="宋体" w:hAnsi="宋体" w:eastAsia="宋体" w:cs="宋体"/>
          <w:sz w:val="24"/>
          <w:szCs w:val="20"/>
          <w:lang w:eastAsia="zh-CN"/>
        </w:rPr>
        <w:t xml:space="preserve">采购人</w:t>
      </w:r>
      <w:r>
        <w:rPr>
          <w:rFonts w:hint="eastAsia" w:ascii="宋体" w:hAnsi="宋体" w:eastAsia="Arial" w:cs="宋体"/>
          <w:sz w:val="24"/>
          <w:szCs w:val="20"/>
        </w:rPr>
        <w:t xml:space="preserve">只接收以纸质原件形式送达的质疑,</w:t>
      </w:r>
      <w:r>
        <w:rPr>
          <w:rFonts w:hint="eastAsia" w:ascii="宋体" w:hAnsi="宋体" w:eastAsia="宋体" w:cs="宋体"/>
          <w:sz w:val="24"/>
          <w:szCs w:val="20"/>
          <w:lang w:eastAsia="zh-CN"/>
        </w:rPr>
        <w:t xml:space="preserve">采购人</w:t>
      </w:r>
      <w:r>
        <w:rPr>
          <w:rFonts w:hint="eastAsia" w:ascii="宋体" w:hAnsi="宋体" w:eastAsia="Arial" w:cs="宋体"/>
          <w:sz w:val="24"/>
          <w:szCs w:val="20"/>
        </w:rPr>
        <w:t xml:space="preserve">和采购中心不接受未填写快递运单的快件。质疑接收部门为公共资源交易中心业务受理处，联系地址：盐城市府西路1号市公共资源交易中心522，联系电话：0515-86665052。</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 以下情形的质疑不予受理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28.5.1内容不符合《政府采购质疑和投诉办法》第十二条规定的质疑。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28.5.2超出政府采购法定期限的质疑。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28.5.3以传真、电子邮件等方式递交的非原件形式的质疑。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28.5.4未参加投标活动的</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或在投标活动中自身权益未受到损害的</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所提出的质疑。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28.5.5</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组成联合体参加投标，联合体中任何一方或多方未按要求签字、盖章、加盖公章的质疑。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28.6</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提出书面质疑必须有理、有据，不得捏造事实、提供虚假材料进行恶意质疑。否则，一经查实，采购中心有权依据政府采购的有关规定，报请政府采购监管部门对该</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进行相应的行政处罚和记录该</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的失信信息。</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29、中标通知书</w:t>
      </w:r>
      <w:r/>
    </w:p>
    <w:p>
      <w:pPr>
        <w:ind w:firstLine="482"/>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29.1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2"/>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29.2中标通知书将是合同的一个组成部分。对</w:t>
      </w:r>
      <w:r>
        <w:rPr>
          <w:rFonts w:hint="eastAsia" w:asciiTheme="minorEastAsia" w:hAnsiTheme="minorEastAsia" w:cstheme="minorEastAsia"/>
          <w:sz w:val="24"/>
          <w:szCs w:val="20"/>
          <w:lang w:eastAsia="zh-CN"/>
        </w:rPr>
        <w:t xml:space="preserve">采购人</w:t>
      </w:r>
      <w:r>
        <w:rPr>
          <w:rFonts w:hint="eastAsia" w:asciiTheme="minorEastAsia" w:hAnsiTheme="minorEastAsia" w:cstheme="minorEastAsia"/>
          <w:sz w:val="24"/>
          <w:szCs w:val="20"/>
        </w:rPr>
        <w:t xml:space="preserve">和中标人均具有法律效力。中标通知书发出后，</w:t>
      </w:r>
      <w:r>
        <w:rPr>
          <w:rFonts w:hint="eastAsia" w:asciiTheme="minorEastAsia" w:hAnsiTheme="minorEastAsia" w:cstheme="minorEastAsia"/>
          <w:sz w:val="24"/>
          <w:szCs w:val="20"/>
          <w:lang w:eastAsia="zh-CN"/>
        </w:rPr>
        <w:t xml:space="preserve">采购人</w:t>
      </w:r>
      <w:r>
        <w:rPr>
          <w:rFonts w:hint="eastAsia" w:asciiTheme="minorEastAsia" w:hAnsiTheme="minorEastAsia" w:cstheme="minorEastAsia"/>
          <w:sz w:val="24"/>
          <w:szCs w:val="20"/>
        </w:rPr>
        <w:t xml:space="preserve">改变中标结果的，或者中标人放弃中标项目的，应当依法承担法律责任。</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七、授予合同</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30</w:t>
      </w:r>
      <w:r>
        <w:rPr>
          <w:rFonts w:hint="eastAsia" w:ascii="宋体" w:hAnsi="宋体" w:eastAsia="宋体" w:cs="宋体"/>
          <w:b/>
          <w:bCs/>
          <w:sz w:val="24"/>
          <w:szCs w:val="20"/>
        </w:rPr>
        <w:t xml:space="preserve">、</w:t>
      </w:r>
      <w:r>
        <w:rPr>
          <w:rFonts w:hint="eastAsia" w:ascii="宋体" w:hAnsi="宋体" w:eastAsia="Arial" w:cs="宋体"/>
          <w:b/>
          <w:bCs/>
          <w:sz w:val="24"/>
          <w:szCs w:val="20"/>
        </w:rPr>
        <w:t xml:space="preserve">签订合同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30.l中标人应当在中标通知书发出之日起三十日内，按照招标文件确定的事项与</w:t>
      </w:r>
      <w:r>
        <w:rPr>
          <w:rFonts w:hint="eastAsia" w:ascii="宋体" w:hAnsi="宋体" w:eastAsia="宋体" w:cs="宋体"/>
          <w:sz w:val="24"/>
          <w:szCs w:val="20"/>
          <w:lang w:eastAsia="zh-CN"/>
        </w:rPr>
        <w:t xml:space="preserve">采购人</w:t>
      </w:r>
      <w:r>
        <w:rPr>
          <w:rFonts w:hint="eastAsia" w:ascii="宋体" w:hAnsi="宋体" w:eastAsia="Arial" w:cs="宋体"/>
          <w:sz w:val="24"/>
          <w:szCs w:val="20"/>
        </w:rPr>
        <w:t xml:space="preserve">签订政府采购合同。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30.2招标文件、中标人的投标文件及招标过程中有关澄清、承诺文件均应作为合同附件。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30.3签订合同后，</w:t>
      </w:r>
      <w:r>
        <w:rPr>
          <w:rFonts w:hint="eastAsia" w:ascii="宋体" w:hAnsi="宋体" w:eastAsia="Arial" w:cs="宋体"/>
          <w:i/>
          <w:iCs/>
          <w:sz w:val="24"/>
          <w:szCs w:val="20"/>
          <w:u w:val="single"/>
        </w:rPr>
        <w:t xml:space="preserve">中标人不得将合同标的进行转包</w:t>
      </w:r>
      <w:r>
        <w:rPr>
          <w:rFonts w:hint="eastAsia" w:ascii="宋体" w:hAnsi="宋体" w:eastAsia="Arial" w:cs="宋体"/>
          <w:sz w:val="24"/>
          <w:szCs w:val="20"/>
        </w:rPr>
        <w:t xml:space="preserve">。未经</w:t>
      </w:r>
      <w:r>
        <w:rPr>
          <w:rFonts w:hint="eastAsia" w:ascii="宋体" w:hAnsi="宋体" w:eastAsia="宋体" w:cs="宋体"/>
          <w:sz w:val="24"/>
          <w:szCs w:val="20"/>
          <w:lang w:eastAsia="zh-CN"/>
        </w:rPr>
        <w:t xml:space="preserve">采购人</w:t>
      </w:r>
      <w:r>
        <w:rPr>
          <w:rFonts w:hint="eastAsia" w:ascii="宋体" w:hAnsi="宋体" w:eastAsia="Arial" w:cs="宋体"/>
          <w:sz w:val="24"/>
          <w:szCs w:val="20"/>
        </w:rPr>
        <w:t xml:space="preserve">同意，中标人也不得采用分包的形式履行合同，否则</w:t>
      </w:r>
      <w:r>
        <w:rPr>
          <w:rFonts w:hint="eastAsia" w:ascii="宋体" w:hAnsi="宋体" w:eastAsia="宋体" w:cs="宋体"/>
          <w:sz w:val="24"/>
          <w:szCs w:val="20"/>
          <w:lang w:eastAsia="zh-CN"/>
        </w:rPr>
        <w:t xml:space="preserve">采购人</w:t>
      </w:r>
      <w:r>
        <w:rPr>
          <w:rFonts w:hint="eastAsia" w:ascii="宋体" w:hAnsi="宋体" w:eastAsia="Arial" w:cs="宋体"/>
          <w:sz w:val="24"/>
          <w:szCs w:val="20"/>
        </w:rPr>
        <w:t xml:space="preserve">有权终止合同。转包或分包造成</w:t>
      </w:r>
      <w:r>
        <w:rPr>
          <w:rFonts w:hint="eastAsia" w:ascii="宋体" w:hAnsi="宋体" w:eastAsia="宋体" w:cs="宋体"/>
          <w:sz w:val="24"/>
          <w:szCs w:val="20"/>
          <w:lang w:eastAsia="zh-CN"/>
        </w:rPr>
        <w:t xml:space="preserve">采购人</w:t>
      </w:r>
      <w:r>
        <w:rPr>
          <w:rFonts w:hint="eastAsia" w:ascii="宋体" w:hAnsi="宋体" w:eastAsia="Arial" w:cs="宋体"/>
          <w:sz w:val="24"/>
          <w:szCs w:val="20"/>
        </w:rPr>
        <w:t xml:space="preserve">损失的，中标人应承担相应赔偿责任。</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31</w:t>
      </w:r>
      <w:r>
        <w:rPr>
          <w:rFonts w:hint="eastAsia" w:ascii="宋体" w:hAnsi="宋体" w:cs="宋体"/>
          <w:b/>
          <w:bCs/>
          <w:sz w:val="24"/>
          <w:szCs w:val="20"/>
        </w:rPr>
        <w:t xml:space="preserve">、</w:t>
      </w:r>
      <w:r>
        <w:rPr>
          <w:rFonts w:hint="eastAsia" w:ascii="宋体" w:hAnsi="宋体" w:eastAsia="Arial" w:cs="宋体"/>
          <w:b/>
          <w:bCs/>
          <w:sz w:val="24"/>
          <w:szCs w:val="20"/>
        </w:rPr>
        <w:t xml:space="preserve">服务（包含与服务相关的货物）的追加</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31.1政府采购合同履行中，</w:t>
      </w:r>
      <w:r>
        <w:rPr>
          <w:rFonts w:hint="eastAsia" w:ascii="宋体" w:hAnsi="宋体" w:eastAsia="宋体" w:cs="宋体"/>
          <w:sz w:val="24"/>
          <w:szCs w:val="20"/>
          <w:lang w:eastAsia="zh-CN"/>
        </w:rPr>
        <w:t xml:space="preserve">采购人</w:t>
      </w:r>
      <w:r>
        <w:rPr>
          <w:rFonts w:hint="eastAsia" w:ascii="宋体" w:hAnsi="宋体" w:eastAsia="Arial" w:cs="宋体"/>
          <w:sz w:val="24"/>
          <w:szCs w:val="20"/>
        </w:rPr>
        <w:t xml:space="preserve">需追加与合同标的相同的服务（包含与服务相关的货物），在不改变合同其他条款的前提下，可以与中标人协商签订补充合同，但所有补充合同的采购金额不超过原合同金额10%。</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32</w:t>
      </w:r>
      <w:r>
        <w:rPr>
          <w:rFonts w:hint="eastAsia" w:ascii="宋体" w:hAnsi="宋体" w:eastAsia="宋体" w:cs="宋体"/>
          <w:b/>
          <w:bCs/>
          <w:sz w:val="24"/>
          <w:szCs w:val="20"/>
        </w:rPr>
        <w:t xml:space="preserve">、</w:t>
      </w:r>
      <w:r>
        <w:rPr>
          <w:rFonts w:hint="eastAsia" w:ascii="宋体" w:hAnsi="宋体" w:eastAsia="Arial" w:cs="宋体"/>
          <w:b/>
          <w:bCs/>
          <w:sz w:val="24"/>
          <w:szCs w:val="20"/>
        </w:rPr>
        <w:t xml:space="preserve">政府采购政策功能落实</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32.1政府采购线上合同信用融资政策</w:t>
      </w:r>
      <w:r/>
    </w:p>
    <w:p>
      <w:pPr>
        <w:ind w:firstLine="482"/>
        <w:jc w:val="left"/>
        <w:spacing w:line="560" w:lineRule="exact"/>
        <w:widowControl/>
        <w:rPr>
          <w:rFonts w:hint="eastAsia" w:ascii="宋体" w:hAnsi="宋体" w:eastAsia="宋体" w:cs="宋体"/>
          <w:sz w:val="24"/>
        </w:rPr>
      </w:pPr>
      <w:r>
        <w:rPr>
          <w:rFonts w:hint="eastAsia" w:ascii="宋体" w:hAnsi="宋体" w:eastAsia="Arial" w:cs="宋体"/>
          <w:sz w:val="24"/>
          <w:szCs w:val="20"/>
        </w:rPr>
        <w:t xml:space="preserve">根据《转发江苏省财政厅中国人民银行南京分行&lt;关于深入推进政府采购线上合同信用融资工作的通知</w:t>
      </w:r>
      <w:r>
        <w:rPr>
          <w:rFonts w:hint="eastAsia" w:ascii="宋体" w:hAnsi="宋体" w:eastAsia="宋体" w:cs="宋体"/>
          <w:sz w:val="24"/>
          <w:szCs w:val="20"/>
        </w:rPr>
        <w:t xml:space="preserve">〉的通知》</w:t>
      </w:r>
      <w:r>
        <w:rPr>
          <w:rFonts w:hint="eastAsia" w:ascii="宋体" w:hAnsi="宋体" w:eastAsia="Arial" w:cs="宋体"/>
          <w:sz w:val="24"/>
          <w:szCs w:val="20"/>
        </w:rPr>
        <w:t xml:space="preserve">（盐财购〔2021〕20号）规定，中标</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如有融资需求，可持政府采购合同在线向相关金融机构（具体信息详见江苏省政府采购网</w:t>
      </w:r>
      <w:r>
        <w:rPr>
          <w:rFonts w:hint="eastAsia" w:asciiTheme="minorEastAsia" w:hAnsiTheme="minorEastAsia" w:cstheme="minorEastAsia"/>
          <w:sz w:val="24"/>
          <w:szCs w:val="20"/>
        </w:rPr>
        <w:t xml:space="preserve">“政采贷”</w:t>
      </w:r>
      <w:r>
        <w:rPr>
          <w:rFonts w:hint="eastAsia" w:ascii="宋体" w:hAnsi="宋体" w:eastAsia="Arial" w:cs="宋体"/>
          <w:sz w:val="24"/>
          <w:szCs w:val="20"/>
        </w:rPr>
        <w:t xml:space="preserve">栏目）申请贷款，相关金融机构按照双方自愿的原则提供便捷、优惠的贷款服务；具体操作流程请参考苏采云系统中操作手册。 </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32.2进口产品</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32.3中小企业、监狱企业及残疾人福利性单位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32.3.1中小企业定义：</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中小企业是</w:t>
      </w:r>
      <w:r>
        <w:rPr>
          <w:rFonts w:hint="eastAsia" w:ascii="宋体" w:hAnsi="宋体" w:eastAsia="Arial" w:cs="宋体"/>
          <w:sz w:val="24"/>
          <w:szCs w:val="2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提供的货物、工程或者服务符合下列情形的，享受中小企业扶持政策：</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32.3.2.1在货物采购项目中，货物由中小企业制造，即货物由中小企业生产且使用该中小企业商号或者注册商标；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32.3.2.2在工程采购项目中，工程由中小企业承建，即工程施工单位为中小企业；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32.3.2.3在服务采购项目中，服务由中小企业承接，即提供服务的人员为中小企业依照《中华人民共和国劳动合同法》订立劳动合同的从业人员。</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32.3.3在货物采购项目中，</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提供的货物既有中小企业制造货物，也有大型企业制造货物的，不享受中小企业扶持政策。</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32.3.4以联合体形式参加政府采购活动，联合体各方均为中小企业的，联合体视同中小企业。其中，联合体各方均为小微企业的，联合体视同小微企业。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32.3.6残疾人福利单位定义：享受政府采购支持政策的残疾人福利性单位应当同时满足以下条件：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32.3.6.1安置的残疾人占本单位在职职工人数的比例不低于25%（含25%），并且安置的残疾人人数不少于10 人（含10 人）；</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32.3.6.2依法与安置的每位残疾人签订了一年以上（含一年）的劳动合同或服务协议；</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32.3.6.3为安置的每位残疾人按月足额缴纳了基本养老保险、基本医疗保险、失业保险、工伤保险和生育保险等社会保险费；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32.3.6.4通过银行等金融机构向安置的每位残疾人，按月支付了不低于单位所在区县适用的经省级人民政府批准的月最低工资标准的工资；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32.3.6.5提供本单位制造的货物、承担的工程或者服务（以下简称产品），或者提供其他残疾人福利性单位制造的货物（不包括使用非残疾人福利性单位注册商标的货物）；</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32.3.7本项目是否专门面向中小企业预留采购份额见第一章《招标公告》。</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32.3.8采购标的对应的中小企业划分标准所属行业见第四章《采购需求》。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32.3.9小微企业价格评审优惠的政策：见第五章《评标方法和评标标准》。</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32.4政府采购节能产品、环境标志产品</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必须在响应文件中提供所投产品的相关证书</w:t>
      </w:r>
      <w:r>
        <w:rPr>
          <w:rFonts w:hint="eastAsia" w:ascii="宋体" w:hAnsi="宋体" w:eastAsia="宋体" w:cs="宋体"/>
          <w:sz w:val="24"/>
          <w:szCs w:val="20"/>
        </w:rPr>
        <w:t xml:space="preserve">（</w:t>
      </w:r>
      <w:r>
        <w:rPr>
          <w:rFonts w:hint="eastAsia" w:ascii="宋体" w:hAnsi="宋体" w:eastAsia="Arial" w:cs="宋体"/>
          <w:sz w:val="24"/>
          <w:szCs w:val="20"/>
        </w:rPr>
        <w:t xml:space="preserve">由国家确定的认证机构出具的、处于有效期之内的节能产品、环境标志产品认证证书</w:t>
      </w:r>
      <w:r>
        <w:rPr>
          <w:rFonts w:hint="eastAsia" w:ascii="宋体" w:hAnsi="宋体" w:eastAsia="宋体" w:cs="宋体"/>
          <w:sz w:val="24"/>
          <w:szCs w:val="20"/>
        </w:rPr>
        <w:t xml:space="preserve">）</w:t>
      </w:r>
      <w:r>
        <w:rPr>
          <w:rFonts w:hint="eastAsia" w:ascii="宋体" w:hAnsi="宋体" w:eastAsia="Arial" w:cs="宋体"/>
          <w:sz w:val="24"/>
          <w:szCs w:val="20"/>
        </w:rPr>
        <w:t xml:space="preserve">。节能产品、环境标志产品品目清单以递交响应文件截止时已正式公布的最近一期信息为准，</w:t>
      </w:r>
      <w:r>
        <w:rPr>
          <w:rFonts w:hint="eastAsia" w:ascii="宋体" w:hAnsi="宋体" w:eastAsia="Arial" w:cs="宋体"/>
          <w:b/>
          <w:bCs/>
          <w:i/>
          <w:iCs/>
          <w:sz w:val="24"/>
          <w:szCs w:val="20"/>
        </w:rPr>
        <w:t xml:space="preserve">如属政府强制采购产品未提供认证证书的或认证证书提供不全的将视为未实质性响应采购要求</w:t>
      </w:r>
      <w:r>
        <w:rPr>
          <w:rFonts w:hint="eastAsia" w:ascii="宋体" w:hAnsi="宋体" w:eastAsia="Arial" w:cs="宋体"/>
          <w:sz w:val="24"/>
          <w:szCs w:val="20"/>
        </w:rPr>
        <w:t xml:space="preserve">。其他条件相同情况下，应当优先采购节能产品、环境标志产品。</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32.5绿色包装</w:t>
      </w:r>
      <w:r/>
    </w:p>
    <w:p>
      <w:pPr>
        <w:ind w:firstLine="482"/>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32.6政府采购创新产品</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lang w:eastAsia="zh-CN"/>
        </w:rPr>
        <w:t xml:space="preserve">采购人</w:t>
      </w:r>
      <w:r>
        <w:rPr>
          <w:rFonts w:hint="eastAsia" w:ascii="宋体" w:hAnsi="宋体" w:eastAsia="Arial" w:cs="宋体"/>
          <w:sz w:val="24"/>
          <w:szCs w:val="20"/>
        </w:rPr>
        <w:t xml:space="preserve">优先采购各级政府部门公开发布的有效期内的创新产品、创新服务、首台套、首购首用等《目录》的创新产品。</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32.7绿色数据中心政策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本文件中若涉及到数据中心采购，</w:t>
      </w:r>
      <w:r>
        <w:rPr>
          <w:rFonts w:hint="eastAsia" w:ascii="宋体" w:hAnsi="宋体" w:eastAsia="宋体" w:cs="宋体"/>
          <w:sz w:val="24"/>
          <w:szCs w:val="20"/>
          <w:lang w:eastAsia="zh-CN"/>
        </w:rPr>
        <w:t xml:space="preserve">采购人</w:t>
      </w:r>
      <w:r>
        <w:rPr>
          <w:rFonts w:hint="eastAsia" w:ascii="宋体" w:hAnsi="宋体" w:eastAsia="Arial" w:cs="宋体"/>
          <w:sz w:val="24"/>
          <w:szCs w:val="20"/>
        </w:rPr>
        <w:t xml:space="preserve">应依据《绿色数据中心政府采购需求标准（试行）》（财办库〔2023〕7号）文件精神，在采购数据中心相关设备、运维服务，应当有利于节约能源、环境保护和资源循环利用，按照《需求标准》实施相关采购活动。</w:t>
      </w:r>
      <w:r>
        <w:rPr>
          <w:rFonts w:hint="eastAsia" w:ascii="宋体" w:hAnsi="宋体" w:eastAsia="宋体" w:cs="宋体"/>
          <w:sz w:val="24"/>
          <w:szCs w:val="20"/>
          <w:lang w:eastAsia="zh-CN"/>
        </w:rPr>
        <w:t xml:space="preserve">采购人</w:t>
      </w:r>
      <w:r>
        <w:rPr>
          <w:rFonts w:hint="eastAsia" w:ascii="宋体" w:hAnsi="宋体" w:eastAsia="Arial" w:cs="宋体"/>
          <w:sz w:val="24"/>
          <w:szCs w:val="20"/>
        </w:rPr>
        <w:t xml:space="preserve">应当加强采购需求管理，根据《需求标准》提出的指标编制数据中心相关设备、运维服务政府采购项目的采购文件，并在合同中明确对相关指标的验收方式和违约责任。</w:t>
      </w:r>
      <w:r>
        <w:rPr>
          <w:rFonts w:hint="eastAsia" w:ascii="宋体" w:hAnsi="宋体" w:eastAsia="宋体" w:cs="宋体"/>
          <w:sz w:val="24"/>
          <w:szCs w:val="20"/>
          <w:lang w:eastAsia="zh-CN"/>
        </w:rPr>
        <w:t xml:space="preserve">采购人</w:t>
      </w:r>
      <w:r>
        <w:rPr>
          <w:rFonts w:hint="eastAsia" w:ascii="宋体" w:hAnsi="宋体" w:eastAsia="Arial" w:cs="宋体"/>
          <w:sz w:val="24"/>
          <w:szCs w:val="20"/>
        </w:rPr>
        <w:t xml:space="preserve">应当在履约验收中对</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提供的产品或服务进行抽查检测，必要时可委托取得相关资质的第三方机构对其进行检测、认证。因检测、认证涉及生产过程或检测时间长等原因，不能在验收过程中开展检测、认证的，可要求</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在验收阶段提供相关检测报告、认证报告。</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32.8履约保证金政策</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确需收取履约保证金的，履约保证金的缴纳形式：</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应当以支票、汇票、本票或者金融机构、担保机构出具的保函等非现金形式提交履约保证金。依据《关于在全省政府采购领域推行电子履约保函（保险）的通知》，鼓励</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自愿使用电子履约保函（保险）代替缴纳履约保证金。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 如以履约保函（保险）形式缴纳履约保证金，</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可通过政府采购电子履约保函（保险）平台（www.jsdzbh.com）在线申请履约保函（保险）。</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履约保证金金额不得超过合同金额的10%，</w:t>
      </w:r>
      <w:r>
        <w:rPr>
          <w:rFonts w:hint="eastAsia" w:ascii="宋体" w:hAnsi="宋体" w:eastAsia="宋体" w:cs="宋体"/>
          <w:sz w:val="24"/>
          <w:szCs w:val="20"/>
          <w:lang w:eastAsia="zh-CN"/>
        </w:rPr>
        <w:t xml:space="preserve">采购人</w:t>
      </w:r>
      <w:r>
        <w:rPr>
          <w:rFonts w:hint="eastAsia" w:ascii="宋体" w:hAnsi="宋体" w:eastAsia="Arial" w:cs="宋体"/>
          <w:sz w:val="24"/>
          <w:szCs w:val="20"/>
        </w:rPr>
        <w:t xml:space="preserve">对第三方信用服务机构依据标准规范评定为 AA 级及以上的政府采购</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（需在签订采购合同前提供信用管理 部门备案的第三方信用报告，且信用报告通过“信用盐城网”可查实），</w:t>
      </w:r>
      <w:r>
        <w:rPr>
          <w:rFonts w:hint="eastAsia" w:ascii="宋体" w:hAnsi="宋体" w:eastAsia="宋体" w:cs="宋体"/>
          <w:b/>
          <w:bCs/>
          <w:sz w:val="24"/>
        </w:rPr>
        <w:t xml:space="preserve">免收履约保证金</w:t>
      </w:r>
      <w:r>
        <w:rPr>
          <w:rFonts w:hint="eastAsia" w:ascii="宋体" w:hAnsi="宋体" w:eastAsia="宋体" w:cs="宋体"/>
          <w:sz w:val="24"/>
        </w:rPr>
        <w:t xml:space="preserve">。</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33</w:t>
      </w:r>
      <w:r>
        <w:rPr>
          <w:rFonts w:hint="eastAsia" w:ascii="宋体" w:hAnsi="宋体" w:eastAsia="宋体" w:cs="宋体"/>
          <w:b/>
          <w:bCs/>
          <w:sz w:val="24"/>
          <w:szCs w:val="20"/>
        </w:rPr>
        <w:t xml:space="preserve">、</w:t>
      </w:r>
      <w:r>
        <w:rPr>
          <w:rFonts w:hint="eastAsia" w:ascii="宋体" w:hAnsi="宋体" w:eastAsia="Arial" w:cs="宋体"/>
          <w:b/>
          <w:bCs/>
          <w:sz w:val="24"/>
          <w:szCs w:val="20"/>
        </w:rPr>
        <w:t xml:space="preserve">预付款制度</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本项目落实预付款制度，预付款比例为</w:t>
      </w:r>
      <w:r>
        <w:rPr>
          <w:rFonts w:hint="eastAsia" w:ascii="宋体" w:hAnsi="宋体" w:eastAsia="Arial" w:cs="宋体"/>
          <w:sz w:val="24"/>
          <w:szCs w:val="20"/>
          <w:u w:val="single"/>
        </w:rPr>
        <w:t xml:space="preserve">30%</w:t>
      </w:r>
      <w:r>
        <w:rPr>
          <w:rFonts w:hint="eastAsia" w:ascii="宋体" w:hAnsi="宋体" w:eastAsia="Arial" w:cs="宋体"/>
          <w:sz w:val="24"/>
          <w:szCs w:val="20"/>
        </w:rPr>
        <w:t xml:space="preserve">。在签订合同时，中标、成交</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明确书面表示无需预付款或者主动要求降低预付款比例的，</w:t>
      </w:r>
      <w:r>
        <w:rPr>
          <w:rFonts w:hint="eastAsia" w:ascii="宋体" w:hAnsi="宋体" w:eastAsia="宋体" w:cs="宋体"/>
          <w:sz w:val="24"/>
          <w:szCs w:val="20"/>
          <w:lang w:eastAsia="zh-CN"/>
        </w:rPr>
        <w:t xml:space="preserve">采购人</w:t>
      </w:r>
      <w:r>
        <w:rPr>
          <w:rFonts w:hint="eastAsia" w:ascii="宋体" w:hAnsi="宋体" w:eastAsia="Arial" w:cs="宋体"/>
          <w:sz w:val="24"/>
          <w:szCs w:val="20"/>
        </w:rPr>
        <w:t xml:space="preserve">可就预付款比例作相应调整。</w:t>
      </w:r>
      <w:bookmarkEnd w:id="57"/>
      <w:r/>
      <w:bookmarkEnd w:id="58"/>
      <w:r/>
      <w:bookmarkEnd w:id="84"/>
      <w:r/>
      <w:bookmarkEnd w:id="85"/>
      <w:r/>
      <w:bookmarkEnd w:id="86"/>
      <w:r/>
      <w:bookmarkEnd w:id="87"/>
      <w:r/>
      <w:r/>
    </w:p>
    <w:p>
      <w:pPr>
        <w:jc w:val="center"/>
        <w:spacing w:before="240" w:after="240"/>
        <w:widowControl/>
        <w:rPr>
          <w:rFonts w:hint="eastAsia" w:ascii="方正小标宋_GBK" w:eastAsia="方正小标宋_GBK" w:cs="宋体" w:hAnsiTheme="minorEastAsia"/>
          <w:sz w:val="44"/>
          <w:szCs w:val="20"/>
        </w:rPr>
        <w:pBdr>
          <w:top w:val="none" w:color="000000" w:sz="0" w:space="0"/>
          <w:left w:val="none" w:color="000000" w:sz="0" w:space="0"/>
          <w:bottom w:val="none" w:color="000000" w:sz="0" w:space="0"/>
          <w:right w:val="none" w:color="000000" w:sz="0" w:space="0"/>
        </w:pBdr>
      </w:pPr>
      <w:r/>
      <w:bookmarkStart w:id="100" w:name="_Toc203060314"/>
      <w:r/>
      <w:bookmarkStart w:id="101" w:name="_Toc479757211"/>
      <w:r/>
      <w:bookmarkStart w:id="102" w:name="_Toc16938590"/>
      <w:r/>
      <w:bookmarkStart w:id="103" w:name="_Toc20823346"/>
      <w:r/>
      <w:bookmarkStart w:id="104" w:name="_Toc462564139"/>
      <w:r/>
      <w:bookmarkStart w:id="105" w:name="_Toc120614244"/>
      <w:r/>
      <w:bookmarkStart w:id="106" w:name="_Hlt16619369"/>
      <w:r/>
      <w:bookmarkStart w:id="107" w:name="_Hlt16619350"/>
      <w:r/>
      <w:r/>
    </w:p>
    <w:p>
      <w:pPr>
        <w:jc w:val="center"/>
        <w:spacing w:before="240" w:after="240"/>
        <w:widowControl/>
        <w:rPr>
          <w:rFonts w:hint="eastAsia" w:ascii="方正小标宋_GBK" w:eastAsia="方正小标宋_GBK" w:cs="宋体" w:hAnsiTheme="minorEastAsia"/>
          <w:sz w:val="44"/>
          <w:szCs w:val="20"/>
        </w:rPr>
        <w:pBdr>
          <w:top w:val="none" w:color="000000" w:sz="0" w:space="0"/>
          <w:left w:val="none" w:color="000000" w:sz="0" w:space="0"/>
          <w:bottom w:val="none" w:color="000000" w:sz="0" w:space="0"/>
          <w:right w:val="none" w:color="000000" w:sz="0" w:space="0"/>
        </w:pBdr>
      </w:pPr>
      <w:r>
        <w:rPr>
          <w:rFonts w:hint="eastAsia" w:ascii="方正小标宋_GBK" w:eastAsia="方正小标宋_GBK" w:cs="宋体" w:hAnsiTheme="minorEastAsia"/>
          <w:sz w:val="44"/>
          <w:szCs w:val="20"/>
        </w:rPr>
      </w:r>
      <w:r/>
    </w:p>
    <w:p>
      <w:pPr>
        <w:jc w:val="center"/>
        <w:spacing w:before="240" w:after="240"/>
        <w:widowControl/>
        <w:rPr>
          <w:rFonts w:hint="eastAsia" w:ascii="方正小标宋_GBK" w:eastAsia="方正小标宋_GBK" w:cs="宋体" w:hAnsiTheme="minorEastAsia"/>
          <w:sz w:val="44"/>
          <w:szCs w:val="20"/>
        </w:rPr>
        <w:pBdr>
          <w:top w:val="none" w:color="000000" w:sz="0" w:space="0"/>
          <w:left w:val="none" w:color="000000" w:sz="0" w:space="0"/>
          <w:bottom w:val="none" w:color="000000" w:sz="0" w:space="0"/>
          <w:right w:val="none" w:color="000000" w:sz="0" w:space="0"/>
        </w:pBdr>
      </w:pPr>
      <w:r>
        <w:rPr>
          <w:rFonts w:hint="eastAsia" w:ascii="方正小标宋_GBK" w:eastAsia="方正小标宋_GBK" w:cs="宋体" w:hAnsiTheme="minorEastAsia"/>
          <w:sz w:val="44"/>
          <w:szCs w:val="20"/>
        </w:rPr>
      </w:r>
      <w:r/>
    </w:p>
    <w:p>
      <w:pPr>
        <w:jc w:val="center"/>
        <w:spacing w:before="240" w:after="240"/>
        <w:widowControl/>
        <w:rPr>
          <w:rFonts w:hint="eastAsia" w:ascii="方正小标宋_GBK" w:eastAsia="方正小标宋_GBK" w:cs="宋体" w:hAnsiTheme="minorEastAsia"/>
          <w:sz w:val="44"/>
          <w:szCs w:val="20"/>
        </w:rPr>
        <w:pBdr>
          <w:top w:val="none" w:color="000000" w:sz="0" w:space="0"/>
          <w:left w:val="none" w:color="000000" w:sz="0" w:space="0"/>
          <w:bottom w:val="none" w:color="000000" w:sz="0" w:space="0"/>
          <w:right w:val="none" w:color="000000" w:sz="0" w:space="0"/>
        </w:pBdr>
      </w:pPr>
      <w:r>
        <w:rPr>
          <w:rFonts w:hint="eastAsia" w:ascii="方正小标宋_GBK" w:eastAsia="方正小标宋_GBK" w:cs="宋体" w:hAnsiTheme="minorEastAsia"/>
          <w:sz w:val="44"/>
          <w:szCs w:val="20"/>
        </w:rPr>
      </w:r>
      <w:r/>
    </w:p>
    <w:p>
      <w:pPr>
        <w:rPr>
          <w:rFonts w:hint="eastAsia" w:ascii="方正小标宋_GBK" w:eastAsia="方正小标宋_GBK" w:cs="宋体" w:hAnsiTheme="minorEastAsia"/>
          <w:sz w:val="44"/>
          <w:szCs w:val="44"/>
        </w:rPr>
      </w:pPr>
      <w:r>
        <w:rPr>
          <w:rFonts w:hint="eastAsia" w:ascii="方正小标宋_GBK" w:eastAsia="方正小标宋_GBK" w:cs="宋体" w:hAnsiTheme="minorEastAsia"/>
          <w:sz w:val="44"/>
          <w:szCs w:val="44"/>
        </w:rPr>
        <w:br w:type="page" w:clear="all"/>
      </w:r>
      <w:r/>
    </w:p>
    <w:p>
      <w:pPr>
        <w:jc w:val="center"/>
        <w:spacing w:before="240" w:after="240"/>
        <w:widowControl/>
        <w:rPr>
          <w:rFonts w:hint="eastAsia" w:ascii="黑体" w:hAnsi="黑体" w:eastAsia="黑体" w:cs="黑体"/>
          <w:sz w:val="44"/>
          <w:szCs w:val="20"/>
        </w:rPr>
        <w:pBdr>
          <w:top w:val="none" w:color="000000" w:sz="0" w:space="0"/>
          <w:left w:val="none" w:color="000000" w:sz="0" w:space="0"/>
          <w:bottom w:val="none" w:color="000000" w:sz="0" w:space="0"/>
          <w:right w:val="none" w:color="000000" w:sz="0" w:space="0"/>
        </w:pBdr>
        <w:outlineLvl w:val="0"/>
      </w:pPr>
      <w:r/>
      <w:bookmarkStart w:id="108" w:name="_Toc213751406"/>
      <w:r>
        <w:rPr>
          <w:rFonts w:hint="eastAsia" w:ascii="黑体" w:hAnsi="黑体" w:eastAsia="黑体" w:cs="黑体"/>
          <w:sz w:val="44"/>
          <w:szCs w:val="20"/>
        </w:rPr>
        <w:t xml:space="preserve">第三章  合同</w:t>
      </w:r>
      <w:bookmarkEnd w:id="100"/>
      <w:r>
        <w:rPr>
          <w:rFonts w:hint="eastAsia" w:ascii="黑体" w:hAnsi="黑体" w:eastAsia="黑体" w:cs="黑体"/>
          <w:sz w:val="44"/>
          <w:szCs w:val="20"/>
        </w:rPr>
        <w:t xml:space="preserve">文本</w:t>
      </w:r>
      <w:bookmarkEnd w:id="108"/>
      <w:r/>
      <w:r/>
    </w:p>
    <w:p>
      <w:pPr>
        <w:pStyle w:val="770"/>
        <w:jc w:val="center"/>
        <w:spacing w:before="0" w:after="0" w:line="240" w:lineRule="auto"/>
        <w:rPr>
          <w:rFonts w:ascii="宋体" w:hAnsi="宋体" w:eastAsia="Arial" w:cs="宋体"/>
          <w:sz w:val="24"/>
          <w:szCs w:val="20"/>
        </w:rPr>
      </w:pPr>
      <w:r/>
      <w:bookmarkStart w:id="109" w:name="_Toc513029243"/>
      <w:r/>
      <w:bookmarkStart w:id="110" w:name="_Toc16938559"/>
      <w:r/>
      <w:bookmarkStart w:id="111" w:name="_Toc20823315"/>
      <w:r/>
      <w:bookmarkStart w:id="112" w:name="OLE_LINK44"/>
      <w:r/>
      <w:bookmarkStart w:id="113" w:name="OLE_LINK43"/>
      <w:r/>
      <w:bookmarkStart w:id="114" w:name="OLE_LINK45"/>
      <w:r>
        <w:rPr>
          <w:rFonts w:hint="eastAsia" w:ascii="宋体" w:hAnsi="宋体" w:eastAsia="Arial" w:cs="宋体"/>
          <w:sz w:val="24"/>
          <w:szCs w:val="20"/>
        </w:rPr>
        <w:t xml:space="preserve">以下为中标后签订本项目合同的通用条款，中标人不得提出实质性的修改。</w:t>
      </w:r>
      <w:bookmarkEnd w:id="109"/>
      <w:r/>
      <w:bookmarkEnd w:id="110"/>
      <w:r/>
      <w:bookmarkEnd w:id="111"/>
      <w:r/>
      <w:r/>
    </w:p>
    <w:p>
      <w:pPr>
        <w:pStyle w:val="770"/>
        <w:jc w:val="center"/>
        <w:spacing w:before="0" w:after="0" w:line="240" w:lineRule="auto"/>
        <w:rPr>
          <w:rFonts w:ascii="宋体" w:hAnsi="宋体" w:eastAsia="Arial" w:cs="宋体"/>
          <w:sz w:val="24"/>
          <w:szCs w:val="20"/>
        </w:rPr>
      </w:pPr>
      <w:r>
        <w:rPr>
          <w:rFonts w:ascii="宋体" w:hAnsi="宋体" w:eastAsia="Arial" w:cs="宋体"/>
          <w:sz w:val="24"/>
          <w:szCs w:val="20"/>
        </w:rPr>
      </w:r>
      <w:r/>
    </w:p>
    <w:p>
      <w:pPr>
        <w:pStyle w:val="770"/>
        <w:jc w:val="center"/>
        <w:spacing w:before="0" w:after="0" w:line="240" w:lineRule="auto"/>
        <w:rPr>
          <w:rFonts w:hint="eastAsia" w:ascii="方正小标宋_GBK" w:eastAsia="方正小标宋_GBK" w:hAnsiTheme="minorEastAsia"/>
          <w:bCs/>
        </w:rPr>
      </w:pPr>
      <w:r>
        <w:rPr>
          <w:rFonts w:hint="eastAsia" w:ascii="方正小标宋_GBK" w:eastAsia="方正小标宋_GBK" w:cs="宋体" w:hAnsiTheme="minorEastAsia"/>
          <w:bCs/>
        </w:rPr>
        <w:t xml:space="preserve">盐城市政府采购合同（合同编号）</w:t>
      </w:r>
      <w:r/>
    </w:p>
    <w:p>
      <w:pPr>
        <w:ind w:firstLine="482"/>
        <w:jc w:val="left"/>
        <w:spacing w:line="560" w:lineRule="exact"/>
        <w:widowControl/>
        <w:rPr>
          <w:rFonts w:hint="eastAsia" w:ascii="宋体" w:hAnsi="宋体" w:eastAsia="宋体" w:cs="宋体"/>
          <w:sz w:val="24"/>
          <w:szCs w:val="20"/>
        </w:rPr>
      </w:pPr>
      <w:r>
        <w:rPr>
          <w:rFonts w:hint="eastAsia" w:ascii="宋体" w:hAnsi="宋体" w:eastAsia="Arial" w:cs="宋体"/>
          <w:sz w:val="24"/>
          <w:szCs w:val="20"/>
        </w:rPr>
        <w:t xml:space="preserve">项目名称：</w:t>
      </w:r>
      <w:r>
        <w:rPr>
          <w:rFonts w:hint="eastAsia" w:ascii="宋体" w:hAnsi="宋体" w:eastAsia="宋体" w:cs="宋体"/>
          <w:sz w:val="24"/>
          <w:szCs w:val="20"/>
          <w:u w:val="single"/>
        </w:rPr>
        <w:t xml:space="preserve">盐城市“公共数据平台”数据安全和治理应用功能模块建设升级项目</w:t>
      </w:r>
      <w:r/>
    </w:p>
    <w:p>
      <w:pPr>
        <w:ind w:firstLine="482"/>
        <w:jc w:val="left"/>
        <w:spacing w:line="560" w:lineRule="exact"/>
        <w:widowControl/>
        <w:rPr>
          <w:rFonts w:hint="eastAsia" w:ascii="宋体" w:hAnsi="宋体" w:eastAsia="宋体" w:cs="宋体"/>
          <w:sz w:val="24"/>
          <w:szCs w:val="24"/>
          <w:u w:val="single"/>
          <w14:ligatures w14:val="none"/>
        </w:rPr>
      </w:pPr>
      <w:r>
        <w:rPr>
          <w:rFonts w:hint="eastAsia" w:ascii="宋体" w:hAnsi="宋体" w:eastAsia="Arial" w:cs="宋体"/>
          <w:sz w:val="24"/>
          <w:szCs w:val="20"/>
        </w:rPr>
        <w:t xml:space="preserve">项目编号：</w:t>
      </w:r>
      <w:r>
        <w:rPr>
          <w:rFonts w:hint="eastAsia" w:ascii="宋体" w:hAnsi="宋体" w:eastAsia="宋体" w:cs="宋体"/>
          <w:sz w:val="24"/>
          <w:szCs w:val="24"/>
          <w:u w:val="single"/>
        </w:rPr>
        <w:t xml:space="preserve">JSZC-320900-JZCG-G2025-0068</w:t>
      </w:r>
      <w:r/>
    </w:p>
    <w:p>
      <w:pPr>
        <w:ind w:firstLine="482"/>
        <w:jc w:val="left"/>
        <w:spacing w:line="560" w:lineRule="exact"/>
        <w:widowControl/>
        <w:rPr>
          <w:rFonts w:hint="eastAsia" w:ascii="宋体" w:hAnsi="宋体" w:eastAsia="宋体" w:cs="宋体"/>
          <w:sz w:val="24"/>
          <w:szCs w:val="20"/>
        </w:rPr>
      </w:pPr>
      <w:r>
        <w:rPr>
          <w:rFonts w:hint="eastAsia" w:ascii="宋体" w:hAnsi="宋体" w:eastAsia="Arial" w:cs="宋体"/>
          <w:sz w:val="24"/>
          <w:szCs w:val="20"/>
        </w:rPr>
        <w:t xml:space="preserve">甲方：（买方）</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 </w:t>
      </w:r>
      <w:r>
        <w:rPr>
          <w:rFonts w:hint="eastAsia" w:ascii="宋体" w:hAnsi="宋体" w:eastAsia="Arial" w:cs="宋体"/>
          <w:sz w:val="24"/>
          <w:szCs w:val="20"/>
        </w:rPr>
        <w:t xml:space="preserve">          </w:t>
      </w:r>
      <w:r/>
    </w:p>
    <w:p>
      <w:pPr>
        <w:ind w:firstLine="482"/>
        <w:jc w:val="left"/>
        <w:spacing w:line="560" w:lineRule="exact"/>
        <w:widowControl/>
        <w:rPr>
          <w:rFonts w:hint="eastAsia" w:ascii="宋体" w:hAnsi="宋体" w:eastAsia="宋体" w:cs="宋体"/>
          <w:sz w:val="24"/>
          <w:szCs w:val="20"/>
        </w:rPr>
      </w:pPr>
      <w:r>
        <w:rPr>
          <w:rFonts w:hint="eastAsia" w:ascii="宋体" w:hAnsi="宋体" w:eastAsia="Arial" w:cs="宋体"/>
          <w:sz w:val="24"/>
          <w:szCs w:val="20"/>
        </w:rPr>
        <w:t xml:space="preserve">乙方：（卖方）</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甲、乙双方根据盐城市政府采购中心</w:t>
      </w:r>
      <w:r>
        <w:rPr>
          <w:rFonts w:hint="eastAsia" w:ascii="宋体" w:hAnsi="宋体" w:eastAsia="宋体" w:cs="宋体"/>
          <w:sz w:val="24"/>
          <w:szCs w:val="20"/>
          <w:u w:val="single"/>
        </w:rPr>
        <w:t xml:space="preserve">盐城市“公共数据平台”数据安全和治理应用功能模块建设升级项目</w:t>
      </w:r>
      <w:r>
        <w:rPr>
          <w:rFonts w:hint="eastAsia" w:ascii="宋体" w:hAnsi="宋体" w:eastAsia="Arial" w:cs="宋体"/>
          <w:sz w:val="24"/>
          <w:szCs w:val="20"/>
        </w:rPr>
        <w:t xml:space="preserve">公开招标的结果，签署本合同。</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一、合同内容</w:t>
      </w:r>
      <w:r/>
    </w:p>
    <w:p>
      <w:pPr>
        <w:ind w:firstLine="482"/>
        <w:jc w:val="left"/>
        <w:spacing w:line="560" w:lineRule="exact"/>
        <w:widowControl/>
        <w:rPr>
          <w:rFonts w:hint="eastAsia" w:ascii="宋体" w:hAnsi="宋体" w:eastAsia="宋体" w:cs="宋体"/>
          <w:sz w:val="24"/>
          <w:szCs w:val="20"/>
        </w:rPr>
      </w:pPr>
      <w:r>
        <w:rPr>
          <w:rFonts w:hint="eastAsia" w:ascii="宋体" w:hAnsi="宋体" w:eastAsia="Arial" w:cs="宋体"/>
          <w:sz w:val="24"/>
          <w:szCs w:val="20"/>
        </w:rPr>
        <w:t xml:space="preserve">1.1 标的名称：</w:t>
      </w:r>
      <w:r>
        <w:rPr>
          <w:rFonts w:hint="eastAsia" w:ascii="宋体" w:hAnsi="宋体" w:eastAsia="宋体" w:cs="宋体"/>
          <w:sz w:val="24"/>
          <w:szCs w:val="20"/>
          <w:u w:val="single"/>
        </w:rPr>
        <w:t xml:space="preserve">盐城市“公共数据平台”数据安全和治理应用功能模块建设升级项目</w:t>
      </w:r>
      <w:r/>
    </w:p>
    <w:p>
      <w:pPr>
        <w:ind w:firstLine="482"/>
        <w:jc w:val="left"/>
        <w:spacing w:line="560" w:lineRule="exact"/>
        <w:widowControl/>
        <w:rPr>
          <w:rFonts w:hint="eastAsia" w:ascii="宋体" w:hAnsi="宋体" w:eastAsia="宋体" w:cs="宋体"/>
          <w:sz w:val="24"/>
          <w:szCs w:val="20"/>
          <w:u w:val="single"/>
        </w:rPr>
      </w:pPr>
      <w:r>
        <w:rPr>
          <w:rFonts w:hint="eastAsia" w:ascii="宋体" w:hAnsi="宋体" w:eastAsia="Arial" w:cs="宋体"/>
          <w:sz w:val="24"/>
          <w:szCs w:val="20"/>
        </w:rPr>
        <w:t xml:space="preserve">1.2标的质量：</w:t>
      </w:r>
      <w:r>
        <w:rPr>
          <w:rFonts w:hint="eastAsia" w:ascii="宋体" w:hAnsi="宋体" w:eastAsia="宋体" w:cs="宋体"/>
          <w:sz w:val="24"/>
          <w:szCs w:val="20"/>
          <w:u w:val="single"/>
        </w:rPr>
        <w:t xml:space="preserve">详见采购需求</w:t>
      </w:r>
      <w:r/>
    </w:p>
    <w:p>
      <w:pPr>
        <w:ind w:firstLine="482"/>
        <w:jc w:val="left"/>
        <w:spacing w:line="560" w:lineRule="exact"/>
        <w:widowControl/>
        <w:rPr>
          <w:rFonts w:hint="eastAsia" w:ascii="宋体" w:hAnsi="宋体" w:eastAsia="宋体" w:cs="宋体"/>
          <w:sz w:val="24"/>
          <w:szCs w:val="20"/>
          <w:u w:val="single"/>
        </w:rPr>
      </w:pPr>
      <w:r>
        <w:rPr>
          <w:rFonts w:hint="eastAsia" w:ascii="宋体" w:hAnsi="宋体" w:eastAsia="Arial" w:cs="宋体"/>
          <w:sz w:val="24"/>
          <w:szCs w:val="20"/>
        </w:rPr>
        <w:t xml:space="preserve">1.3 标的数量（规模）：</w:t>
      </w:r>
      <w:bookmarkStart w:id="115" w:name="_Hlk213248179"/>
      <w:r>
        <w:rPr>
          <w:rFonts w:hint="eastAsia" w:ascii="宋体" w:hAnsi="宋体" w:eastAsia="宋体" w:cs="宋体"/>
          <w:sz w:val="24"/>
          <w:szCs w:val="20"/>
          <w:u w:val="single"/>
        </w:rPr>
        <w:t xml:space="preserve">详见采购需求</w:t>
      </w:r>
      <w:bookmarkEnd w:id="115"/>
      <w:r/>
      <w:r/>
    </w:p>
    <w:p>
      <w:pPr>
        <w:ind w:firstLine="482"/>
        <w:jc w:val="left"/>
        <w:spacing w:line="560" w:lineRule="exact"/>
        <w:widowControl/>
        <w:rPr>
          <w:rFonts w:ascii="宋体" w:hAnsi="宋体" w:eastAsia="Arial" w:cs="宋体"/>
          <w:sz w:val="24"/>
          <w:szCs w:val="20"/>
          <w:u w:val="single"/>
        </w:rPr>
      </w:pPr>
      <w:r>
        <w:rPr>
          <w:rFonts w:hint="eastAsia" w:ascii="宋体" w:hAnsi="宋体" w:eastAsia="Arial" w:cs="宋体"/>
          <w:sz w:val="24"/>
          <w:szCs w:val="20"/>
        </w:rPr>
        <w:t xml:space="preserve">1.4 履行时间（期限）</w:t>
      </w:r>
      <w:r>
        <w:rPr>
          <w:rFonts w:hint="eastAsia" w:asciiTheme="minorEastAsia" w:hAnsiTheme="minorEastAsia" w:cstheme="minorEastAsia"/>
          <w:sz w:val="24"/>
          <w:szCs w:val="20"/>
        </w:rPr>
        <w:t xml:space="preserve">：</w:t>
      </w:r>
      <w:r>
        <w:rPr>
          <w:rFonts w:hint="eastAsia" w:ascii="宋体" w:hAnsi="宋体" w:eastAsia="宋体" w:cs="宋体"/>
          <w:sz w:val="24"/>
          <w:szCs w:val="20"/>
          <w:u w:val="single"/>
        </w:rPr>
        <w:t xml:space="preserve">详见采购需求</w:t>
      </w:r>
      <w:r>
        <w:rPr>
          <w:rFonts w:hint="eastAsia" w:ascii="宋体" w:hAnsi="宋体" w:eastAsia="宋体"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1.5 履行地点：</w:t>
      </w:r>
      <w:r>
        <w:rPr>
          <w:rFonts w:hint="eastAsia" w:ascii="宋体" w:hAnsi="宋体" w:eastAsia="宋体" w:cs="宋体"/>
          <w:sz w:val="24"/>
          <w:szCs w:val="20"/>
          <w:u w:val="single"/>
        </w:rPr>
        <w:t xml:space="preserve">甲方</w:t>
      </w:r>
      <w:r>
        <w:rPr>
          <w:rFonts w:hint="eastAsia" w:ascii="宋体" w:hAnsi="宋体" w:eastAsia="Arial" w:cs="宋体"/>
          <w:sz w:val="24"/>
          <w:szCs w:val="20"/>
          <w:u w:val="single"/>
        </w:rPr>
        <w:t xml:space="preserve">指定地点</w:t>
      </w:r>
      <w:r>
        <w:rPr>
          <w:rFonts w:hint="eastAsia" w:ascii="宋体" w:hAnsi="宋体" w:eastAsia="Arial" w:cs="宋体"/>
          <w:sz w:val="24"/>
          <w:szCs w:val="20"/>
        </w:rPr>
        <w:t xml:space="preserve">。</w:t>
      </w:r>
      <w:r/>
    </w:p>
    <w:p>
      <w:pPr>
        <w:ind w:firstLine="482"/>
        <w:jc w:val="left"/>
        <w:spacing w:line="560" w:lineRule="exact"/>
        <w:widowControl/>
        <w:rPr>
          <w:rFonts w:hint="eastAsia" w:ascii="宋体" w:hAnsi="宋体" w:eastAsia="宋体" w:cs="宋体"/>
          <w:sz w:val="24"/>
          <w:szCs w:val="20"/>
        </w:rPr>
      </w:pPr>
      <w:r>
        <w:rPr>
          <w:rFonts w:hint="eastAsia" w:ascii="宋体" w:hAnsi="宋体" w:eastAsia="Arial" w:cs="宋体"/>
          <w:sz w:val="24"/>
          <w:szCs w:val="20"/>
        </w:rPr>
        <w:t xml:space="preserve">1.6履行方式：</w:t>
      </w:r>
      <w:r>
        <w:rPr>
          <w:rFonts w:hint="eastAsia" w:ascii="宋体" w:hAnsi="宋体" w:eastAsia="宋体" w:cs="宋体"/>
          <w:sz w:val="24"/>
          <w:szCs w:val="20"/>
          <w:u w:val="single"/>
        </w:rPr>
        <w:t xml:space="preserve">按甲方指定方式</w:t>
      </w:r>
      <w:r>
        <w:rPr>
          <w:rFonts w:hint="eastAsia" w:ascii="宋体" w:hAnsi="宋体" w:eastAsia="宋体" w:cs="宋体"/>
          <w:sz w:val="24"/>
          <w:szCs w:val="20"/>
        </w:rPr>
        <w:t xml:space="preserve">。</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二、合同金额</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2.1本合同金额为（大写）：</w:t>
      </w:r>
      <w:r>
        <w:rPr>
          <w:rFonts w:hint="eastAsia" w:ascii="宋体" w:hAnsi="宋体" w:eastAsia="Arial" w:cs="宋体"/>
          <w:sz w:val="24"/>
          <w:szCs w:val="20"/>
          <w:u w:val="single"/>
        </w:rPr>
        <w:t xml:space="preserve">                </w:t>
      </w:r>
      <w:r>
        <w:rPr>
          <w:rFonts w:hint="eastAsia" w:ascii="宋体" w:hAnsi="宋体" w:eastAsia="Arial" w:cs="宋体"/>
          <w:sz w:val="24"/>
          <w:szCs w:val="20"/>
        </w:rPr>
        <w:t xml:space="preserve">圆（_______________元）人民币或其他币种。</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三、技术资料</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3.1乙方应按招标文件规定的时间向甲方提供服务（包含与服务相关的货物）的有关技术资料。</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四、知识产权</w:t>
      </w:r>
      <w:r/>
    </w:p>
    <w:p>
      <w:pPr>
        <w:ind w:firstLine="482"/>
        <w:jc w:val="left"/>
        <w:spacing w:line="560" w:lineRule="exact"/>
        <w:widowControl/>
        <w:rPr>
          <w:rFonts w:hint="eastAsia" w:ascii="宋体" w:hAnsi="宋体" w:eastAsia="宋体" w:cs="宋体"/>
          <w:sz w:val="24"/>
        </w:rPr>
      </w:pPr>
      <w:r>
        <w:rPr>
          <w:rFonts w:hint="eastAsia" w:ascii="宋体" w:hAnsi="宋体" w:eastAsia="Arial" w:cs="宋体"/>
          <w:sz w:val="24"/>
          <w:szCs w:val="20"/>
        </w:rPr>
        <w:t xml:space="preserve">4.1</w:t>
      </w:r>
      <w:r>
        <w:rPr>
          <w:rFonts w:hint="eastAsia" w:ascii="宋体" w:hAnsi="宋体" w:eastAsia="宋体" w:cs="宋体"/>
          <w:sz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2"/>
        <w:jc w:val="left"/>
        <w:spacing w:line="560" w:lineRule="exact"/>
        <w:widowControl/>
        <w:rPr>
          <w:rFonts w:hint="eastAsia" w:ascii="宋体" w:hAnsi="宋体" w:eastAsia="宋体" w:cs="宋体"/>
          <w:sz w:val="24"/>
        </w:rPr>
      </w:pPr>
      <w:r>
        <w:rPr>
          <w:rFonts w:hint="eastAsia" w:ascii="宋体" w:hAnsi="宋体" w:eastAsia="宋体" w:cs="宋体"/>
          <w:sz w:val="24"/>
        </w:rPr>
        <w:t xml:space="preserve">4.2项目建设过程中所产生成果的知识产权归甲方所有。乙方为履行本合同向甲方所交付工作成果（包括但不限于履行本合同过程中形成的技术资料文件等）的所有权与知识产权均归甲方单独占有。乙方不以任何形式主张权利，并应甲方要求，配合甲方完成权利登记等必要手续。</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rPr>
        <w:t xml:space="preserve">4.3未经甲方同意，乙方不得擅自处分（包括但不限于使用、许可他人使用、转让、出租、出借、买卖、对外披露等）该服务工作成果。</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五、产权担保</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5.1乙方保证所交付的服务（包含与服务相关的货物）的所有权完全属于乙方且无任何抵押、查封等产权瑕疵。</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六、履约保证金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6.1乙方交纳人民币</w:t>
      </w:r>
      <w:r>
        <w:rPr>
          <w:rFonts w:hint="eastAsia" w:ascii="宋体" w:hAnsi="宋体" w:eastAsia="Arial" w:cs="宋体"/>
          <w:sz w:val="24"/>
          <w:szCs w:val="20"/>
          <w:u w:val="single"/>
        </w:rPr>
        <w:t xml:space="preserve">           </w:t>
      </w:r>
      <w:r>
        <w:rPr>
          <w:rFonts w:hint="eastAsia" w:ascii="宋体" w:hAnsi="宋体" w:eastAsia="Arial" w:cs="宋体"/>
          <w:sz w:val="24"/>
          <w:szCs w:val="20"/>
        </w:rPr>
        <w:t xml:space="preserve">元作为本合同的履约保证金。</w:t>
      </w:r>
      <w:r/>
    </w:p>
    <w:p>
      <w:pPr>
        <w:ind w:firstLine="482"/>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备注：履约保证金金额为合同金额的10%，</w:t>
      </w:r>
      <w:r>
        <w:rPr>
          <w:rFonts w:hint="eastAsia" w:asciiTheme="minorEastAsia" w:hAnsiTheme="minorEastAsia" w:cstheme="minorEastAsia"/>
          <w:sz w:val="24"/>
          <w:szCs w:val="20"/>
          <w:lang w:eastAsia="zh-CN"/>
        </w:rPr>
        <w:t xml:space="preserve">采购人</w:t>
      </w:r>
      <w:r>
        <w:rPr>
          <w:rFonts w:hint="eastAsia" w:asciiTheme="minorEastAsia" w:hAnsiTheme="minorEastAsia" w:cstheme="minorEastAsia"/>
          <w:sz w:val="24"/>
          <w:szCs w:val="20"/>
        </w:rPr>
        <w:t xml:space="preserve">应当对AA评级及以上政府采购</w:t>
      </w:r>
      <w:r>
        <w:rPr>
          <w:rFonts w:hint="eastAsia" w:asciiTheme="minorEastAsia" w:hAnsiTheme="minorEastAsia" w:cstheme="minorEastAsia"/>
          <w:sz w:val="24"/>
          <w:szCs w:val="20"/>
          <w:lang w:eastAsia="zh-CN"/>
        </w:rPr>
        <w:t xml:space="preserve">投标人</w:t>
      </w:r>
      <w:r>
        <w:rPr>
          <w:rFonts w:hint="eastAsia" w:asciiTheme="minorEastAsia" w:hAnsiTheme="minorEastAsia" w:cstheme="minorEastAsia"/>
          <w:sz w:val="24"/>
          <w:szCs w:val="20"/>
        </w:rPr>
        <w:t xml:space="preserve">（需提供信用管理部门备案的第三方信用报告）</w:t>
      </w:r>
      <w:r>
        <w:rPr>
          <w:rFonts w:hint="eastAsia" w:asciiTheme="minorEastAsia" w:hAnsiTheme="minorEastAsia" w:cstheme="minorEastAsia"/>
          <w:b/>
          <w:bCs/>
          <w:sz w:val="24"/>
          <w:szCs w:val="20"/>
        </w:rPr>
        <w:t xml:space="preserve">免收履约保证金</w:t>
      </w:r>
      <w:r>
        <w:rPr>
          <w:rFonts w:hint="eastAsia" w:asciiTheme="minorEastAsia" w:hAnsiTheme="minorEastAsia" w:cstheme="minorEastAsia"/>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6.2确需收取履约保证金的，履约保证金的缴纳形式：</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6.2.1乙方应当以支票、汇票、本票或者金融机构、担保机构出具的保函等非现金形式提交履约保证金。依据《关于在全省政府采购领域推行电子履约保函（保险）的通知》，鼓励</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自愿使用电子履约保函（保险）代替缴纳履约保证金。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6.2.2 如以履约保函（保险）形式缴纳履约保证金，乙方可通过政府采购电子履约保函（保险）平台（www.jsdzbh.com）在线申请履约保函（保险）。</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6.3合同履行结束后，甲方应及时退还交纳的履约保证金。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6.4履约保证金的退还：</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6.4.1方式：退还至乙方缴纳履约保证金的账户。如为保函，在到期时自行失效。</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6.4.2时间：验收合格后30日内。</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6.4.3条件：按合同要求全部履约完成并经甲方验收合格，且甲方收到乙方出具的发票。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6.4.4不予退还情形：</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除不可抗力情况外，乙方出现下列情形之一的，其履约保证金，甲方将视情节决定不予退还或部分不予退还。</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（1）乙方无正当理由拒绝签订合同的，或者在签订合同时向甲方提出附加条件或者更改合同实质性内容要求的；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（2）乙方不履行与</w:t>
      </w:r>
      <w:r>
        <w:rPr>
          <w:rFonts w:hint="eastAsia" w:ascii="宋体" w:hAnsi="宋体" w:eastAsia="宋体" w:cs="宋体"/>
          <w:sz w:val="24"/>
          <w:szCs w:val="20"/>
          <w:lang w:eastAsia="zh-CN"/>
        </w:rPr>
        <w:t xml:space="preserve">采购人</w:t>
      </w:r>
      <w:r>
        <w:rPr>
          <w:rFonts w:hint="eastAsia" w:ascii="宋体" w:hAnsi="宋体" w:eastAsia="Arial" w:cs="宋体"/>
          <w:sz w:val="24"/>
          <w:szCs w:val="20"/>
        </w:rPr>
        <w:t xml:space="preserve">订立的合同的；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（3）乙方所供货物或服务不符合招标文件规定要求的；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（4）乙方采取欺骗、弄虚作假方式投标的或与</w:t>
      </w:r>
      <w:r>
        <w:rPr>
          <w:rFonts w:hint="eastAsia" w:ascii="宋体" w:hAnsi="宋体" w:eastAsia="宋体" w:cs="宋体"/>
          <w:sz w:val="24"/>
          <w:szCs w:val="20"/>
        </w:rPr>
        <w:t xml:space="preserve">其他</w:t>
      </w:r>
      <w:r>
        <w:rPr>
          <w:rFonts w:hint="eastAsia" w:ascii="宋体" w:hAnsi="宋体" w:eastAsia="Arial" w:cs="宋体"/>
          <w:sz w:val="24"/>
          <w:szCs w:val="20"/>
        </w:rPr>
        <w:t xml:space="preserve">投标人串通投标的；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（5）乙方将合同内容转包、违法分包的；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（6）乙方故意捏造事实或伪造证明材料，进行虚假恶意投诉或反映的。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6.4.5逾期退还的违约责任：甲方逾期无故未退还履约保证金的，按中国人民银行同期贷款基准利率上浮20%后的利率支付超期资金占用费，但因乙方自身原因导致无法及时退还的除外。</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七、合同转包或分包</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7.1乙方不得将合同标的转包给他人履行。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7.2乙方不得将合同标的分包给他人履行。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7.3乙方如有转包或未经甲方同意的分包行为，甲方有权解除合同。</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八、合同款项支付</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8.1合同款项的支付方式及进度安排</w:t>
      </w:r>
      <w:r/>
    </w:p>
    <w:p>
      <w:pPr>
        <w:ind w:firstLine="482"/>
        <w:jc w:val="left"/>
        <w:spacing w:line="560" w:lineRule="exact"/>
        <w:widowControl/>
        <w:rPr>
          <w:rFonts w:hint="eastAsia" w:ascii="宋体" w:hAnsi="宋体" w:eastAsia="宋体" w:cs="宋体"/>
          <w:b/>
          <w:bCs/>
          <w:sz w:val="24"/>
          <w:szCs w:val="20"/>
        </w:rPr>
        <w:outlineLvl w:val="3"/>
      </w:pPr>
      <w:r>
        <w:rPr>
          <w:rFonts w:hint="eastAsia" w:ascii="宋体" w:hAnsi="宋体" w:eastAsia="宋体" w:cs="宋体"/>
          <w:b/>
          <w:bCs/>
          <w:sz w:val="24"/>
          <w:szCs w:val="20"/>
        </w:rPr>
        <w:t xml:space="preserve">分包一：公共数据平台优化升级及数据治理应用项目</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（1）项目合同签订后，甲方在收到乙方票据并确认无误后，10个工作日内支付合同总价的30%作为预付款；</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（2）项目初步验收后，甲方在收到乙方票据并确认无误后，10个工作日内，支付合同总价的20%；项目终验后，甲方在收到乙方票据并确认无误后，10个工作日内，支付合同总价的20%；</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（3）项目转入运维期，每年运维期结束，甲方在收到乙方票据并确认无误后，10个工作日内，支付合同总价的15%，持续2年。</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分包二：</w:t>
      </w:r>
      <w:r>
        <w:rPr>
          <w:rFonts w:hint="eastAsia" w:ascii="宋体" w:hAnsi="宋体" w:cs="宋体"/>
          <w:b/>
          <w:bCs/>
          <w:sz w:val="24"/>
          <w:szCs w:val="20"/>
          <w:lang w:bidi="ar"/>
        </w:rPr>
        <w:t xml:space="preserve">公共数据安全防护项目</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（1）项目合同签订后，甲方在收到乙方票据并确认无误后，10个工作日内支付合同总价的30%作为预付款；</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（2）项目初步验收后，甲方在收到乙方票据并确认无误后，10个工作日内，支付合同总价的20%；项目终验后，甲方在收到乙方票据并确认无误后，10个工作日内，支付合同总价的20%；</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（3）项目转入运维期，每年运维期结束，甲方在收到乙方票据并确认无误后，10个工作日内，支付合同总价的15%，持续2年。</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分包三：</w:t>
      </w:r>
      <w:r>
        <w:rPr>
          <w:rFonts w:hint="eastAsia" w:ascii="宋体" w:hAnsi="宋体" w:eastAsia="宋体" w:cs="宋体"/>
          <w:b/>
          <w:bCs/>
          <w:sz w:val="24"/>
          <w:szCs w:val="20"/>
          <w:lang w:bidi="ar"/>
        </w:rPr>
        <w:t xml:space="preserve">全过程项目咨询和管理服务</w:t>
      </w:r>
      <w:r/>
    </w:p>
    <w:p>
      <w:pPr>
        <w:ind w:firstLine="480"/>
        <w:jc w:val="left"/>
        <w:spacing w:line="560" w:lineRule="exact"/>
        <w:widowControl/>
        <w:rPr>
          <w:rFonts w:hint="eastAsia" w:asciiTheme="minorEastAsia" w:hAnsiTheme="minorEastAsia" w:cstheme="minorEastAsia"/>
          <w:sz w:val="24"/>
          <w:szCs w:val="20"/>
        </w:rPr>
      </w:pPr>
      <w:r/>
      <w:bookmarkStart w:id="116" w:name="_Hlk213957363"/>
      <w:r>
        <w:rPr>
          <w:rFonts w:asciiTheme="minorEastAsia" w:hAnsiTheme="minorEastAsia" w:cstheme="minorEastAsia"/>
          <w:sz w:val="24"/>
          <w:szCs w:val="20"/>
        </w:rPr>
        <w:t xml:space="preserve">合同签订</w:t>
      </w:r>
      <w:r>
        <w:rPr>
          <w:rFonts w:hint="eastAsia" w:asciiTheme="minorEastAsia" w:hAnsiTheme="minorEastAsia" w:cstheme="minorEastAsia"/>
          <w:sz w:val="24"/>
          <w:szCs w:val="20"/>
        </w:rPr>
        <w:t xml:space="preserve">后</w:t>
      </w:r>
      <w:r>
        <w:rPr>
          <w:rFonts w:asciiTheme="minorEastAsia" w:hAnsiTheme="minorEastAsia" w:cstheme="minorEastAsia"/>
          <w:sz w:val="24"/>
          <w:szCs w:val="20"/>
        </w:rPr>
        <w:t xml:space="preserve">，</w:t>
      </w:r>
      <w:r>
        <w:rPr>
          <w:rFonts w:hint="eastAsia" w:ascii="宋体" w:hAnsi="宋体" w:eastAsia="宋体" w:cs="宋体"/>
          <w:sz w:val="24"/>
          <w:szCs w:val="20"/>
        </w:rPr>
        <w:t xml:space="preserve">甲方在收到乙方票据并确认无误后，10个工作日内，</w:t>
      </w:r>
      <w:r>
        <w:rPr>
          <w:rFonts w:asciiTheme="minorEastAsia" w:hAnsiTheme="minorEastAsia" w:cstheme="minorEastAsia"/>
          <w:sz w:val="24"/>
          <w:szCs w:val="20"/>
        </w:rPr>
        <w:t xml:space="preserve">支付</w:t>
      </w:r>
      <w:r>
        <w:rPr>
          <w:rFonts w:hint="eastAsia" w:asciiTheme="minorEastAsia" w:hAnsiTheme="minorEastAsia" w:cstheme="minorEastAsia"/>
          <w:sz w:val="24"/>
          <w:szCs w:val="20"/>
        </w:rPr>
        <w:t xml:space="preserve">预付款</w:t>
      </w:r>
      <w:r>
        <w:rPr>
          <w:rFonts w:asciiTheme="minorEastAsia" w:hAnsiTheme="minorEastAsia" w:cstheme="minorEastAsia"/>
          <w:sz w:val="24"/>
          <w:szCs w:val="20"/>
        </w:rPr>
        <w:t xml:space="preserve">合同价的</w:t>
      </w:r>
      <w:r>
        <w:rPr>
          <w:rFonts w:hint="eastAsia" w:asciiTheme="minorEastAsia" w:hAnsiTheme="minorEastAsia" w:cstheme="minorEastAsia"/>
          <w:sz w:val="24"/>
          <w:szCs w:val="20"/>
        </w:rPr>
        <w:t xml:space="preserve">30</w:t>
      </w:r>
      <w:r>
        <w:rPr>
          <w:rFonts w:asciiTheme="minorEastAsia" w:hAnsiTheme="minorEastAsia" w:cstheme="minorEastAsia"/>
          <w:sz w:val="24"/>
          <w:szCs w:val="20"/>
        </w:rPr>
        <w:t xml:space="preserve">%；</w:t>
      </w:r>
      <w:r/>
    </w:p>
    <w:p>
      <w:pPr>
        <w:ind w:firstLine="480"/>
        <w:jc w:val="left"/>
        <w:spacing w:line="560" w:lineRule="exact"/>
        <w:widowControl/>
        <w:rPr>
          <w:rFonts w:hint="eastAsia" w:asciiTheme="minorEastAsia" w:hAnsiTheme="minorEastAsia" w:cstheme="minorEastAsia"/>
          <w:sz w:val="24"/>
          <w:szCs w:val="20"/>
        </w:rPr>
      </w:pPr>
      <w:r>
        <w:rPr>
          <w:rFonts w:asciiTheme="minorEastAsia" w:hAnsiTheme="minorEastAsia" w:cstheme="minorEastAsia"/>
          <w:sz w:val="24"/>
          <w:szCs w:val="20"/>
        </w:rPr>
        <w:t xml:space="preserve">合同约定的所有服务内容完成，经</w:t>
      </w:r>
      <w:r>
        <w:rPr>
          <w:rFonts w:hint="eastAsia" w:asciiTheme="minorEastAsia" w:hAnsiTheme="minorEastAsia" w:cstheme="minorEastAsia"/>
          <w:sz w:val="24"/>
          <w:szCs w:val="20"/>
        </w:rPr>
        <w:t xml:space="preserve">终验通过</w:t>
      </w:r>
      <w:r>
        <w:rPr>
          <w:rFonts w:asciiTheme="minorEastAsia" w:hAnsiTheme="minorEastAsia" w:cstheme="minorEastAsia"/>
          <w:sz w:val="24"/>
          <w:szCs w:val="20"/>
        </w:rPr>
        <w:t xml:space="preserve">后，</w:t>
      </w:r>
      <w:r>
        <w:rPr>
          <w:rFonts w:hint="eastAsia" w:ascii="宋体" w:hAnsi="宋体" w:eastAsia="宋体" w:cs="宋体"/>
          <w:sz w:val="24"/>
          <w:szCs w:val="20"/>
        </w:rPr>
        <w:t xml:space="preserve">甲方在收到乙方票据并确认无误后，10个工作日内</w:t>
      </w:r>
      <w:r>
        <w:rPr>
          <w:rFonts w:asciiTheme="minorEastAsia" w:hAnsiTheme="minorEastAsia" w:cstheme="minorEastAsia"/>
          <w:sz w:val="24"/>
          <w:szCs w:val="20"/>
        </w:rPr>
        <w:t xml:space="preserve">，支付合同价的</w:t>
      </w:r>
      <w:r>
        <w:rPr>
          <w:rFonts w:hint="eastAsia" w:asciiTheme="minorEastAsia" w:hAnsiTheme="minorEastAsia" w:cstheme="minorEastAsia"/>
          <w:sz w:val="24"/>
          <w:szCs w:val="20"/>
        </w:rPr>
        <w:t xml:space="preserve">70</w:t>
      </w:r>
      <w:r>
        <w:rPr>
          <w:rFonts w:asciiTheme="minorEastAsia" w:hAnsiTheme="minorEastAsia" w:cstheme="minorEastAsia"/>
          <w:sz w:val="24"/>
          <w:szCs w:val="20"/>
        </w:rPr>
        <w:t xml:space="preserve">%。</w:t>
      </w:r>
      <w:bookmarkEnd w:id="116"/>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分包四：</w:t>
      </w:r>
      <w:r>
        <w:rPr>
          <w:rFonts w:hint="eastAsia" w:ascii="宋体" w:hAnsi="宋体" w:cs="宋体"/>
          <w:b/>
          <w:bCs/>
          <w:sz w:val="24"/>
          <w:szCs w:val="20"/>
        </w:rPr>
        <w:t xml:space="preserve">商用密码应用测评服务</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合同签订后，甲方在收到乙方票据并确认无误后，10个工作日内，支付预付款合同价的30%；</w:t>
      </w:r>
      <w:r/>
    </w:p>
    <w:p>
      <w:pPr>
        <w:ind w:firstLine="480"/>
        <w:jc w:val="left"/>
        <w:spacing w:line="560" w:lineRule="exact"/>
        <w:widowControl/>
        <w:rPr>
          <w:rFonts w:hint="eastAsia" w:ascii="宋体" w:hAnsi="宋体" w:eastAsia="宋体" w:cs="宋体"/>
          <w:sz w:val="24"/>
          <w:szCs w:val="20"/>
        </w:rPr>
      </w:pPr>
      <w:r>
        <w:rPr>
          <w:rFonts w:asciiTheme="minorEastAsia" w:hAnsiTheme="minorEastAsia" w:cstheme="minorEastAsia"/>
          <w:sz w:val="24"/>
          <w:szCs w:val="20"/>
        </w:rPr>
        <w:t xml:space="preserve">合同约定的所有服务内容完成，</w:t>
      </w:r>
      <w:r>
        <w:rPr>
          <w:rFonts w:hint="eastAsia" w:asciiTheme="minorEastAsia" w:hAnsiTheme="minorEastAsia" w:cstheme="minorEastAsia"/>
          <w:sz w:val="24"/>
          <w:szCs w:val="20"/>
        </w:rPr>
        <w:t xml:space="preserve">并提交《商用密码应用方案评估报告》《商用密码应用安全性评估报告》，</w:t>
      </w:r>
      <w:r>
        <w:rPr>
          <w:rFonts w:asciiTheme="minorEastAsia" w:hAnsiTheme="minorEastAsia" w:cstheme="minorEastAsia"/>
          <w:sz w:val="24"/>
          <w:szCs w:val="20"/>
        </w:rPr>
        <w:t xml:space="preserve">经</w:t>
      </w:r>
      <w:r>
        <w:rPr>
          <w:rFonts w:hint="eastAsia" w:asciiTheme="minorEastAsia" w:hAnsiTheme="minorEastAsia" w:cstheme="minorEastAsia"/>
          <w:sz w:val="24"/>
          <w:szCs w:val="20"/>
        </w:rPr>
        <w:t xml:space="preserve">终验通过</w:t>
      </w:r>
      <w:r>
        <w:rPr>
          <w:rFonts w:asciiTheme="minorEastAsia" w:hAnsiTheme="minorEastAsia" w:cstheme="minorEastAsia"/>
          <w:sz w:val="24"/>
          <w:szCs w:val="20"/>
        </w:rPr>
        <w:t xml:space="preserve">后，</w:t>
      </w:r>
      <w:r>
        <w:rPr>
          <w:rFonts w:hint="eastAsia" w:asciiTheme="minorEastAsia" w:hAnsiTheme="minorEastAsia" w:cstheme="minorEastAsia"/>
          <w:sz w:val="24"/>
          <w:szCs w:val="20"/>
        </w:rPr>
        <w:t xml:space="preserve">甲方在收到乙方票据并确认无误后，10个工作日内，支付合同价的70%。</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分包五：</w:t>
      </w:r>
      <w:r>
        <w:rPr>
          <w:rFonts w:hint="eastAsia" w:ascii="宋体" w:hAnsi="宋体" w:cs="宋体"/>
          <w:b/>
          <w:bCs/>
          <w:sz w:val="24"/>
          <w:szCs w:val="20"/>
        </w:rPr>
        <w:t xml:space="preserve">软件测评服务</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合同签订后，甲方在收到乙方票据并确认无误后，10个工作日内，支付预付款合同价的30%；</w:t>
      </w:r>
      <w:r/>
    </w:p>
    <w:p>
      <w:pPr>
        <w:ind w:firstLine="480"/>
        <w:jc w:val="left"/>
        <w:spacing w:line="560" w:lineRule="exact"/>
        <w:widowControl/>
        <w:rPr>
          <w:rFonts w:hint="eastAsia" w:ascii="宋体" w:hAnsi="宋体" w:eastAsia="宋体" w:cs="宋体"/>
          <w:sz w:val="24"/>
          <w:szCs w:val="20"/>
        </w:rPr>
      </w:pPr>
      <w:r>
        <w:rPr>
          <w:rFonts w:hint="eastAsia" w:asciiTheme="minorEastAsia" w:hAnsiTheme="minorEastAsia" w:cstheme="minorEastAsia"/>
          <w:sz w:val="24"/>
          <w:szCs w:val="20"/>
        </w:rPr>
        <w:t xml:space="preserve">合同约定的所有服务内容完成，经终验通过后，甲方在收到乙方票据并确认无误后，10个工作日内，支付合同价的70%。</w:t>
      </w:r>
      <w:r/>
    </w:p>
    <w:p>
      <w:pPr>
        <w:ind w:firstLine="482"/>
        <w:jc w:val="left"/>
        <w:spacing w:line="560" w:lineRule="exact"/>
        <w:widowControl/>
        <w:tabs>
          <w:tab w:val="left" w:pos="2730" w:leader="none"/>
        </w:tabs>
        <w:rPr>
          <w:rFonts w:hint="eastAsia" w:ascii="宋体" w:hAnsi="宋体" w:eastAsia="宋体" w:cs="宋体"/>
          <w:b/>
          <w:bCs/>
          <w:sz w:val="24"/>
          <w:szCs w:val="20"/>
        </w:rPr>
        <w:outlineLvl w:val="1"/>
      </w:pPr>
      <w:r>
        <w:rPr>
          <w:rFonts w:hint="eastAsia" w:ascii="宋体" w:hAnsi="宋体" w:eastAsia="Arial" w:cs="宋体"/>
          <w:b/>
          <w:bCs/>
          <w:sz w:val="24"/>
          <w:szCs w:val="20"/>
        </w:rPr>
        <w:t xml:space="preserve">九、税费</w:t>
      </w:r>
      <w:r>
        <w:rPr>
          <w:rFonts w:hint="eastAsia" w:ascii="宋体" w:hAnsi="宋体" w:eastAsia="宋体" w:cs="宋体"/>
          <w:b/>
          <w:bCs/>
          <w:sz w:val="24"/>
          <w:szCs w:val="20"/>
        </w:rPr>
        <w:tab/>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9.1本合同执行中相关的一切税费均由乙方负担。</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十、项目验收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10.1甲方依法组织履约验收工作。</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10.3对于实际使用人和甲方分离的项目，甲方邀请实际使用人参与验收。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10.4如有必要，甲方邀请参加本项目的其他</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或第三方专业机构及专家参与验收，相关意见将作为验收书的参考资料。</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2"/>
        <w:jc w:val="left"/>
        <w:spacing w:line="560" w:lineRule="exact"/>
        <w:widowControl/>
        <w:rPr>
          <w:rFonts w:hint="eastAsia" w:ascii="宋体" w:hAnsi="宋体" w:cs="宋体"/>
          <w:sz w:val="24"/>
          <w:szCs w:val="20"/>
        </w:rPr>
      </w:pPr>
      <w:r>
        <w:rPr>
          <w:rFonts w:hint="eastAsia" w:ascii="宋体" w:hAnsi="宋体" w:eastAsia="Arial" w:cs="宋体"/>
          <w:sz w:val="24"/>
          <w:szCs w:val="20"/>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十一、违约责任</w:t>
      </w:r>
      <w:r/>
    </w:p>
    <w:p>
      <w:pPr>
        <w:ind w:firstLine="482"/>
        <w:jc w:val="left"/>
        <w:spacing w:line="560" w:lineRule="exact"/>
        <w:widowControl/>
        <w:rPr>
          <w:rFonts w:hint="eastAsia" w:ascii="宋体" w:hAnsi="宋体" w:cs="宋体"/>
          <w:sz w:val="24"/>
          <w:szCs w:val="20"/>
        </w:rPr>
      </w:pPr>
      <w:r>
        <w:rPr>
          <w:rFonts w:hint="eastAsia" w:ascii="宋体" w:hAnsi="宋体" w:eastAsia="Arial" w:cs="宋体"/>
          <w:sz w:val="24"/>
          <w:szCs w:val="20"/>
        </w:rPr>
        <w:t xml:space="preserve">11.1甲方无正当理由拒绝接受乙方提供服务的，甲方向乙方偿付拒绝接受服务合同价款总值</w:t>
      </w:r>
      <w:bookmarkStart w:id="117" w:name="OLE_LINK6"/>
      <w:r/>
      <w:bookmarkStart w:id="118" w:name="OLE_LINK5"/>
      <w:r>
        <w:rPr>
          <w:rFonts w:hint="eastAsia" w:ascii="宋体" w:hAnsi="宋体" w:eastAsia="Arial" w:cs="宋体"/>
          <w:sz w:val="24"/>
          <w:szCs w:val="20"/>
          <w:u w:val="single"/>
        </w:rPr>
        <w:t xml:space="preserve"> </w:t>
      </w:r>
      <w:r>
        <w:rPr>
          <w:rFonts w:hint="eastAsia" w:ascii="宋体" w:hAnsi="宋体" w:cs="宋体"/>
          <w:sz w:val="24"/>
          <w:szCs w:val="20"/>
          <w:u w:val="single"/>
        </w:rPr>
        <w:t xml:space="preserve">5%</w:t>
      </w:r>
      <w:r>
        <w:rPr>
          <w:rFonts w:hint="eastAsia" w:ascii="宋体" w:hAnsi="宋体" w:eastAsia="Arial" w:cs="宋体"/>
          <w:sz w:val="24"/>
          <w:szCs w:val="20"/>
          <w:u w:val="single"/>
        </w:rPr>
        <w:t xml:space="preserve"> </w:t>
      </w:r>
      <w:bookmarkEnd w:id="117"/>
      <w:r/>
      <w:bookmarkEnd w:id="118"/>
      <w:r>
        <w:rPr>
          <w:rFonts w:hint="eastAsia" w:ascii="宋体" w:hAnsi="宋体" w:eastAsia="Arial" w:cs="宋体"/>
          <w:sz w:val="24"/>
          <w:szCs w:val="20"/>
        </w:rPr>
        <w:t xml:space="preserve">的违约金。</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11.2甲方无故逾期验收和办理合同款项支付手续的,甲方应按逾期付款总额</w:t>
      </w:r>
      <w:r>
        <w:rPr>
          <w:rFonts w:hint="eastAsia" w:ascii="宋体" w:hAnsi="宋体" w:cs="宋体"/>
          <w:sz w:val="24"/>
          <w:szCs w:val="20"/>
          <w:u w:val="single"/>
        </w:rPr>
        <w:t xml:space="preserve">0.</w:t>
      </w:r>
      <w:r>
        <w:rPr>
          <w:rFonts w:hint="eastAsia" w:ascii="宋体" w:hAnsi="宋体" w:eastAsia="Arial" w:cs="宋体"/>
          <w:sz w:val="24"/>
          <w:szCs w:val="20"/>
          <w:u w:val="single"/>
        </w:rPr>
        <w:t xml:space="preserve">1%</w:t>
      </w:r>
      <w:r>
        <w:rPr>
          <w:rFonts w:hint="eastAsia" w:ascii="宋体" w:hAnsi="宋体" w:eastAsia="宋体" w:cs="宋体"/>
          <w:sz w:val="24"/>
          <w:szCs w:val="20"/>
          <w:u w:val="single"/>
        </w:rPr>
        <w:t xml:space="preserve"> </w:t>
      </w:r>
      <w:r>
        <w:rPr>
          <w:rFonts w:hint="eastAsia" w:ascii="宋体" w:hAnsi="宋体" w:eastAsia="Arial" w:cs="宋体"/>
          <w:sz w:val="24"/>
          <w:szCs w:val="20"/>
        </w:rPr>
        <w:t xml:space="preserve">的每日向乙方支付违约金。</w:t>
      </w:r>
      <w:r/>
    </w:p>
    <w:p>
      <w:pPr>
        <w:ind w:firstLine="482"/>
        <w:jc w:val="left"/>
        <w:spacing w:line="560" w:lineRule="exact"/>
        <w:widowControl/>
        <w:rPr>
          <w:rFonts w:hint="eastAsia" w:ascii="宋体" w:hAnsi="宋体" w:cs="宋体"/>
          <w:sz w:val="24"/>
          <w:szCs w:val="20"/>
        </w:rPr>
      </w:pPr>
      <w:r>
        <w:rPr>
          <w:rFonts w:hint="eastAsia" w:ascii="宋体" w:hAnsi="宋体" w:eastAsia="Arial" w:cs="宋体"/>
          <w:sz w:val="24"/>
          <w:szCs w:val="20"/>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Arial" w:cs="宋体"/>
          <w:sz w:val="24"/>
          <w:szCs w:val="20"/>
          <w:u w:val="single"/>
        </w:rPr>
        <w:t xml:space="preserve"> </w:t>
      </w:r>
      <w:r>
        <w:rPr>
          <w:rFonts w:hint="eastAsia" w:ascii="宋体" w:hAnsi="宋体" w:cs="宋体"/>
          <w:sz w:val="24"/>
          <w:szCs w:val="20"/>
          <w:u w:val="single"/>
        </w:rPr>
        <w:t xml:space="preserve">5%</w:t>
      </w:r>
      <w:r>
        <w:rPr>
          <w:rFonts w:hint="eastAsia" w:ascii="宋体" w:hAnsi="宋体" w:eastAsia="Arial" w:cs="宋体"/>
          <w:sz w:val="24"/>
          <w:szCs w:val="20"/>
          <w:u w:val="single"/>
        </w:rPr>
        <w:t xml:space="preserve"> </w:t>
      </w:r>
      <w:r>
        <w:rPr>
          <w:rFonts w:hint="eastAsia" w:ascii="宋体" w:hAnsi="宋体" w:eastAsia="Arial" w:cs="宋体"/>
          <w:sz w:val="24"/>
          <w:szCs w:val="20"/>
        </w:rPr>
        <w:t xml:space="preserve">的违约金，如造成甲方损失超过违约金的，超出部分由乙方继续承担赔偿责任。</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11.4乙方所提供服务的标准不符合合同规定及招标文件规定标准的，甲方有权拒绝接受服务，并可单方面解除合同。</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十二、不可抗力事件处理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12.1在合同有效期内，任何一方因不可抗力事件导致不能履行合同，则合同履行期可延长，其延长期与不可抗力影响期相同。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12.2不可抗力事件发生后，应立即通知对方，并寄送有关权威机构出具的证明。</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12.3不可抗力事件延续120天以上，双方应通过友好协商，确定是否继续履行合同。</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十三、解决争议的方法</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13.1双方在签订、履行合同中所发生的一切争议，应通过友好协商解决。如协商不成，由甲方住所地人民法院管辖。</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十四、合同生效及其他</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14.1合同经双方法定代表人或授权委托代表人签字并加盖单位公章后生效。</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14.2遵照《中华人民共和国民法典》、《中华人民共和国政府采购法》有关条文执行。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14.3 本合同正本一式两份，具有同等法律效力，甲方、乙方各执一份。</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14.4 未尽事宜以最终签订的合同为准。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甲方：             </w:t>
      </w:r>
      <w:r>
        <w:rPr>
          <w:rFonts w:hint="eastAsia" w:ascii="宋体" w:hAnsi="宋体" w:eastAsia="宋体" w:cs="宋体"/>
          <w:sz w:val="24"/>
          <w:szCs w:val="20"/>
        </w:rPr>
        <w:t xml:space="preserve">                         </w:t>
      </w:r>
      <w:r>
        <w:rPr>
          <w:rFonts w:hint="eastAsia" w:ascii="宋体" w:hAnsi="宋体" w:eastAsia="Arial" w:cs="宋体"/>
          <w:sz w:val="24"/>
          <w:szCs w:val="20"/>
        </w:rPr>
        <w:t xml:space="preserve">乙方：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地址：                                      地址：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法定代表人或授权代表：      法定代表人或授权代表：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联系电话：                              联系电话：</w:t>
      </w:r>
      <w:r/>
    </w:p>
    <w:p>
      <w:pPr>
        <w:ind w:firstLine="482"/>
        <w:jc w:val="right"/>
        <w:spacing w:line="560" w:lineRule="exact"/>
        <w:widowControl/>
        <w:rPr>
          <w:rFonts w:ascii="宋体" w:hAnsi="宋体" w:eastAsia="Arial" w:cs="宋体"/>
          <w:sz w:val="24"/>
          <w:szCs w:val="20"/>
        </w:rPr>
      </w:pPr>
      <w:r>
        <w:rPr>
          <w:rFonts w:hint="eastAsia" w:ascii="宋体" w:hAnsi="宋体" w:eastAsia="Arial" w:cs="宋体"/>
          <w:sz w:val="24"/>
          <w:szCs w:val="20"/>
        </w:rPr>
        <w:t xml:space="preserve">签订日期：  年   月  日</w:t>
      </w:r>
      <w:bookmarkEnd w:id="112"/>
      <w:r/>
      <w:bookmarkEnd w:id="113"/>
      <w:r/>
      <w:bookmarkEnd w:id="114"/>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r>
      <w:r/>
    </w:p>
    <w:p>
      <w:pPr>
        <w:rPr>
          <w:rFonts w:hint="eastAsia" w:ascii="黑体" w:hAnsi="黑体" w:eastAsia="黑体" w:cs="黑体"/>
          <w:sz w:val="44"/>
          <w:szCs w:val="20"/>
        </w:rPr>
      </w:pPr>
      <w:r/>
      <w:bookmarkStart w:id="119" w:name="_Toc203060316"/>
      <w:r>
        <w:rPr>
          <w:rFonts w:hint="eastAsia" w:ascii="黑体" w:hAnsi="黑体" w:eastAsia="黑体" w:cs="黑体"/>
          <w:sz w:val="44"/>
          <w:szCs w:val="20"/>
        </w:rPr>
        <w:br w:type="page" w:clear="all"/>
      </w:r>
      <w:r/>
    </w:p>
    <w:p>
      <w:pPr>
        <w:jc w:val="center"/>
        <w:widowControl/>
        <w:rPr>
          <w:rFonts w:hint="eastAsia" w:asciiTheme="majorEastAsia" w:hAnsiTheme="majorEastAsia" w:eastAsiaTheme="majorEastAsia" w:cstheme="majorEastAsia"/>
          <w:bCs/>
          <w:sz w:val="28"/>
          <w:szCs w:val="28"/>
        </w:rPr>
      </w:pPr>
      <w:r>
        <w:rPr>
          <w:rFonts w:hint="eastAsia" w:asciiTheme="majorEastAsia" w:hAnsiTheme="majorEastAsia" w:eastAsiaTheme="majorEastAsia" w:cstheme="majorEastAsia"/>
          <w:bCs/>
          <w:sz w:val="28"/>
          <w:szCs w:val="28"/>
        </w:rPr>
        <w:t xml:space="preserve">保密协议书</w:t>
      </w:r>
      <w:r/>
    </w:p>
    <w:p>
      <w:pPr>
        <w:pStyle w:val="752"/>
        <w:spacing w:line="500" w:lineRule="exact"/>
        <w:widowControl/>
        <w:rPr>
          <w:rFonts w:hAnsi="宋体" w:eastAsia="Arial" w:cs="宋体"/>
          <w:sz w:val="24"/>
          <w:szCs w:val="20"/>
        </w:rPr>
      </w:pPr>
      <w:r>
        <w:rPr>
          <w:rFonts w:hint="eastAsia" w:hAnsi="宋体" w:eastAsia="Arial" w:cs="宋体"/>
          <w:sz w:val="24"/>
          <w:szCs w:val="20"/>
        </w:rPr>
        <w:t xml:space="preserve">甲方：</w:t>
      </w:r>
      <w:r>
        <w:rPr>
          <w:rFonts w:hint="eastAsia" w:hAnsi="宋体" w:eastAsia="Arial" w:cs="宋体"/>
          <w:sz w:val="24"/>
          <w:szCs w:val="20"/>
          <w:u w:val="single"/>
        </w:rPr>
        <w:t xml:space="preserve">                 </w:t>
      </w:r>
      <w:r>
        <w:rPr>
          <w:rFonts w:hint="eastAsia" w:hAnsi="宋体" w:eastAsia="Arial" w:cs="宋体"/>
          <w:sz w:val="24"/>
          <w:szCs w:val="20"/>
        </w:rPr>
        <w:t xml:space="preserve">                     </w:t>
      </w:r>
      <w:r/>
    </w:p>
    <w:p>
      <w:pPr>
        <w:pStyle w:val="752"/>
        <w:spacing w:line="500" w:lineRule="exact"/>
        <w:widowControl/>
        <w:rPr>
          <w:rFonts w:hAnsi="宋体" w:eastAsia="Arial" w:cs="宋体"/>
          <w:sz w:val="24"/>
          <w:szCs w:val="20"/>
        </w:rPr>
      </w:pPr>
      <w:r>
        <w:rPr>
          <w:rFonts w:hint="eastAsia" w:hAnsi="宋体" w:eastAsia="Arial" w:cs="宋体"/>
          <w:sz w:val="24"/>
          <w:szCs w:val="20"/>
        </w:rPr>
        <w:t xml:space="preserve">乙方：</w:t>
      </w:r>
      <w:r>
        <w:rPr>
          <w:rFonts w:hint="eastAsia" w:hAnsi="宋体" w:eastAsia="Arial" w:cs="宋体"/>
          <w:sz w:val="24"/>
          <w:szCs w:val="20"/>
          <w:u w:val="single"/>
        </w:rPr>
        <w:t xml:space="preserve">                 </w:t>
      </w:r>
      <w:r>
        <w:rPr>
          <w:rFonts w:hint="eastAsia" w:hAnsi="宋体" w:eastAsia="Arial" w:cs="宋体"/>
          <w:sz w:val="24"/>
          <w:szCs w:val="20"/>
        </w:rPr>
        <w:t xml:space="preserve">  </w:t>
      </w:r>
      <w:bookmarkStart w:id="120" w:name="OLE_LINK28"/>
      <w:r/>
      <w:bookmarkStart w:id="121" w:name="OLE_LINK26"/>
      <w:r>
        <w:rPr>
          <w:rFonts w:hint="eastAsia" w:hAnsi="宋体" w:eastAsia="Arial" w:cs="宋体"/>
          <w:sz w:val="24"/>
          <w:szCs w:val="20"/>
        </w:rPr>
        <w:t xml:space="preserve">                </w:t>
      </w:r>
      <w:bookmarkEnd w:id="120"/>
      <w:r/>
      <w:bookmarkEnd w:id="121"/>
      <w:r>
        <w:rPr>
          <w:rFonts w:hint="eastAsia" w:hAnsi="宋体" w:eastAsia="Arial" w:cs="宋体"/>
          <w:sz w:val="24"/>
          <w:szCs w:val="20"/>
        </w:rPr>
        <w:t xml:space="preserve">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鉴于乙方接受甲方委托，将在合同规定的期限内对甲方有关</w:t>
      </w:r>
      <w:r>
        <w:rPr>
          <w:rFonts w:hint="eastAsia" w:ascii="宋体" w:hAnsi="宋体" w:eastAsia="Arial" w:cs="宋体"/>
          <w:sz w:val="24"/>
          <w:szCs w:val="20"/>
          <w:u w:val="single"/>
        </w:rPr>
        <w:t xml:space="preserve">             </w:t>
      </w:r>
      <w:r>
        <w:rPr>
          <w:rFonts w:hint="eastAsia" w:ascii="宋体" w:hAnsi="宋体" w:eastAsia="Arial" w:cs="宋体"/>
          <w:sz w:val="24"/>
          <w:szCs w:val="20"/>
        </w:rPr>
        <w:t xml:space="preserve">，而在提供服务过程中，乙方将不可避免地接触到甲方的涉密设备、涉密信息以及保密资料，为落实保密措施，做好保密工作，切实维护国家安全和利益以及甲方部门的利益，双方就有关保密事宜达成如下意见：</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一、甲方职责</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1.甲方应对乙方项目合同金额及合同本身进行保密，对乙方明确为甲方的技术人员进行保密责任、保密义务提醒教育，并对乙方技术服务人员进行技术服务具体实施进行全程跟踪、监督和管理。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2.对于乙方提出的与技术服务密切相关的工作文档且必须提供保密资料等相关事宜进行保密审查认证，并对提供给乙方的相关保密资料提出比较明确的保密要求，做好交接登记工作。</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3.发现乙方在为甲方实施技术服务过程中存在安全隐患和泄密漏洞的，应当及时提出，并督促落实改进措施，确保安全。</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二、乙方职责</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1.乙方在接受甲方委托之日起，应当事先做好相关准备工作：一是明确具体上门服务的技术人员，且做到相对固定；二是对相关技术服务人员进行保密教育，明确保密责任、义务，并与之签订《保密协议书》。</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乙方技术服务人员在为甲方提供技术服务过程中，应尽量避免接触甲方的涉密事项，做到不该看的不看，不该问的不问；因提供技术服务需要必须接触涉密事宜时，应主动接受甲方的现场指导和监督，并确保有关涉密设备、涉密信息的安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3.乙方在为甲方提供技术服务时，甲方根据乙方提出的要求，必须提供保密资料时，双方应当办理交接手续，做好登记、</w:t>
      </w:r>
      <w:r>
        <w:rPr>
          <w:rFonts w:hint="eastAsia" w:ascii="宋体" w:hAnsi="宋体" w:eastAsia="宋体" w:cs="宋体"/>
          <w:sz w:val="24"/>
          <w:szCs w:val="20"/>
        </w:rPr>
        <w:t xml:space="preserve">使用台账</w:t>
      </w:r>
      <w:r>
        <w:rPr>
          <w:rFonts w:hint="eastAsia" w:ascii="宋体" w:hAnsi="宋体" w:eastAsia="Arial" w:cs="宋体"/>
          <w:sz w:val="24"/>
          <w:szCs w:val="20"/>
        </w:rPr>
        <w:t xml:space="preserve">；乙方在将相关保密资料带回使用时，应确保携带、使用、存放全过程的安全；保密资料原则上不得另行复制，确因技术服务需要经甲方同意复制的，按原件要求严格管理。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4.乙方在完成甲方某项技术服务任务后，与此任务相关</w:t>
      </w:r>
      <w:r>
        <w:rPr>
          <w:rFonts w:hint="eastAsia" w:ascii="宋体" w:hAnsi="宋体" w:eastAsia="宋体" w:cs="宋体"/>
          <w:sz w:val="24"/>
          <w:szCs w:val="20"/>
        </w:rPr>
        <w:t xml:space="preserve">且</w:t>
      </w:r>
      <w:r>
        <w:rPr>
          <w:rFonts w:hint="eastAsia" w:ascii="宋体" w:hAnsi="宋体" w:eastAsia="Arial" w:cs="宋体"/>
          <w:sz w:val="24"/>
          <w:szCs w:val="20"/>
        </w:rPr>
        <w:t xml:space="preserve">短期内不再使用的先前甲方提供的保密资料，原则上应</w:t>
      </w:r>
      <w:r>
        <w:rPr>
          <w:rFonts w:hint="eastAsia" w:ascii="宋体" w:hAnsi="宋体" w:eastAsia="宋体" w:cs="宋体"/>
          <w:sz w:val="24"/>
          <w:szCs w:val="20"/>
          <w:lang w:val="en-US" w:eastAsia="zh-CN"/>
        </w:rPr>
        <w:t xml:space="preserve">限</w:t>
      </w:r>
      <w:r>
        <w:rPr>
          <w:rFonts w:hint="eastAsia" w:ascii="宋体" w:hAnsi="宋体" w:eastAsia="Arial" w:cs="宋体"/>
          <w:sz w:val="24"/>
          <w:szCs w:val="20"/>
        </w:rPr>
        <w:t xml:space="preserve">期退回甲方，并办理保密资料退回手续，做好交接登记。甲方认为可以作废不需退回的保密资料，乙方应当及时进行保密销毁，并做好核销登记。</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5.乙方对于甲方提供的保密资料以及相关技术服务人员在为甲方提供技术服务时掌握的其他涉密信息，均不得向第三方或其他无关人员透露，应按照技术服务需要严格控制使用、知悉范围。</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6.乙方在使用电子设备</w:t>
      </w:r>
      <w:r>
        <w:rPr>
          <w:rFonts w:hint="eastAsia" w:ascii="宋体" w:hAnsi="宋体" w:eastAsia="宋体" w:cs="宋体"/>
          <w:sz w:val="24"/>
          <w:szCs w:val="20"/>
        </w:rPr>
        <w:t xml:space="preserve">（</w:t>
      </w:r>
      <w:r>
        <w:rPr>
          <w:rFonts w:hint="eastAsia" w:ascii="宋体" w:hAnsi="宋体" w:eastAsia="Arial" w:cs="宋体"/>
          <w:sz w:val="24"/>
          <w:szCs w:val="20"/>
        </w:rPr>
        <w:t xml:space="preserve">包括笔记本电脑、移动存储介质等</w:t>
      </w:r>
      <w:r>
        <w:rPr>
          <w:rFonts w:hint="eastAsia" w:ascii="宋体" w:hAnsi="宋体" w:eastAsia="宋体" w:cs="宋体"/>
          <w:sz w:val="24"/>
          <w:szCs w:val="20"/>
        </w:rPr>
        <w:t xml:space="preserve">）</w:t>
      </w:r>
      <w:r>
        <w:rPr>
          <w:rFonts w:hint="eastAsia" w:ascii="宋体" w:hAnsi="宋体" w:eastAsia="Arial" w:cs="宋体"/>
          <w:sz w:val="24"/>
          <w:szCs w:val="20"/>
        </w:rPr>
        <w:t xml:space="preserve">为甲方提供技术服务时，应严格按照有关保密规定要求，落实技防、人防、物防综合防范措施，确保安全。</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三、其他事宜</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1.由于双方违反约定，造成泄密事件发生或者产生严重泄密隐患的，由违约一方承担全部责任。</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2.本协议未尽事宜，双方另行择机商定。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3.双方在相关问题上发生争执无法解决时，拟商请保密工作部门进行调解。</w:t>
      </w:r>
      <w:r/>
    </w:p>
    <w:p>
      <w:pPr>
        <w:pStyle w:val="752"/>
        <w:ind w:firstLine="480"/>
        <w:spacing w:line="460" w:lineRule="exact"/>
        <w:rPr>
          <w:rFonts w:ascii="Times New Roman" w:hAnsi="Times New Roman" w:eastAsia="仿宋_GB2312" w:cs="Times New Roman"/>
          <w:sz w:val="24"/>
          <w:szCs w:val="24"/>
        </w:rPr>
      </w:pPr>
      <w:r>
        <w:rPr>
          <w:rFonts w:ascii="Times New Roman" w:hAnsi="Times New Roman" w:eastAsia="仿宋_GB2312" w:cs="Times New Roman"/>
          <w:sz w:val="24"/>
          <w:szCs w:val="24"/>
        </w:rPr>
      </w:r>
      <w:r/>
    </w:p>
    <w:p>
      <w:pPr>
        <w:pStyle w:val="752"/>
        <w:ind w:firstLine="48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乙方：</w:t>
      </w:r>
      <w:r>
        <w:rPr>
          <w:rFonts w:hint="eastAsia" w:asciiTheme="minorEastAsia" w:hAnsiTheme="minorEastAsia" w:eastAsiaTheme="minorEastAsia" w:cstheme="minorEastAsia"/>
          <w:sz w:val="24"/>
          <w:szCs w:val="24"/>
          <w:u w:val="single"/>
        </w:rPr>
        <w:t xml:space="preserve">                   </w:t>
      </w:r>
      <w:r/>
    </w:p>
    <w:p>
      <w:pPr>
        <w:pStyle w:val="752"/>
        <w:ind w:firstLine="48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752"/>
        <w:ind w:firstLine="48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甲方代表（签字）：                    乙方代表（签字）：</w:t>
      </w:r>
      <w:r/>
    </w:p>
    <w:p>
      <w:pPr>
        <w:pStyle w:val="752"/>
        <w:ind w:firstLine="48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center"/>
        <w:spacing w:line="460" w:lineRule="exact"/>
        <w:rPr>
          <w:rFonts w:hint="eastAsia" w:asciiTheme="minorEastAsia" w:hAnsiTheme="minorEastAsia" w:cstheme="minorEastAsia"/>
          <w:sz w:val="24"/>
        </w:rPr>
      </w:pPr>
      <w:r>
        <w:rPr>
          <w:rFonts w:hint="eastAsia" w:asciiTheme="minorEastAsia" w:hAnsiTheme="minorEastAsia" w:cstheme="minorEastAsia"/>
          <w:sz w:val="24"/>
        </w:rPr>
        <w:t xml:space="preserve">签署日期：  年  月  日                签署日期：  年  月  日</w:t>
      </w:r>
      <w:r/>
    </w:p>
    <w:p>
      <w:pPr>
        <w:jc w:val="center"/>
        <w:spacing w:line="460" w:lineRule="exact"/>
        <w:rPr>
          <w:rFonts w:hint="eastAsia" w:asciiTheme="minorEastAsia" w:hAnsiTheme="minorEastAsia" w:cstheme="minorEastAsia"/>
          <w:sz w:val="24"/>
        </w:rPr>
      </w:pPr>
      <w:r>
        <w:rPr>
          <w:rFonts w:hint="eastAsia" w:asciiTheme="minorEastAsia" w:hAnsiTheme="minorEastAsia" w:cstheme="minorEastAsia"/>
          <w:sz w:val="24"/>
        </w:rPr>
      </w:r>
      <w:r/>
    </w:p>
    <w:p>
      <w:pPr>
        <w:jc w:val="center"/>
        <w:spacing w:line="460" w:lineRule="exact"/>
        <w:rPr>
          <w:rFonts w:hint="eastAsia" w:ascii="黑体" w:hAnsi="黑体" w:eastAsia="黑体" w:cs="黑体"/>
          <w:sz w:val="44"/>
          <w:szCs w:val="20"/>
        </w:rPr>
        <w:outlineLvl w:val="0"/>
      </w:pPr>
      <w:r/>
      <w:bookmarkStart w:id="122" w:name="_Toc213751407"/>
      <w:r>
        <w:rPr>
          <w:rFonts w:hint="eastAsia" w:ascii="黑体" w:hAnsi="黑体" w:eastAsia="黑体" w:cs="黑体"/>
          <w:sz w:val="44"/>
          <w:szCs w:val="20"/>
        </w:rPr>
        <w:t xml:space="preserve">第</w:t>
      </w:r>
      <w:bookmarkEnd w:id="101"/>
      <w:r>
        <w:rPr>
          <w:rFonts w:hint="eastAsia" w:ascii="黑体" w:hAnsi="黑体" w:eastAsia="黑体" w:cs="黑体"/>
          <w:sz w:val="44"/>
          <w:szCs w:val="20"/>
        </w:rPr>
        <w:t xml:space="preserve">四章 采购需求</w:t>
      </w:r>
      <w:bookmarkEnd w:id="102"/>
      <w:r/>
      <w:bookmarkEnd w:id="103"/>
      <w:r/>
      <w:bookmarkEnd w:id="104"/>
      <w:r/>
      <w:bookmarkEnd w:id="105"/>
      <w:r/>
      <w:bookmarkEnd w:id="119"/>
      <w:r/>
      <w:bookmarkEnd w:id="122"/>
      <w:r/>
      <w:bookmarkStart w:id="123" w:name="_Toc26554093"/>
      <w:r/>
      <w:bookmarkEnd w:id="123"/>
      <w:r/>
      <w:bookmarkStart w:id="124" w:name="_Toc49090575"/>
      <w:r/>
      <w:bookmarkEnd w:id="124"/>
      <w:r/>
      <w:r/>
    </w:p>
    <w:p>
      <w:pPr>
        <w:ind w:firstLine="482"/>
        <w:jc w:val="left"/>
        <w:spacing w:line="560" w:lineRule="exact"/>
        <w:widowControl/>
        <w:rPr>
          <w:rFonts w:hint="eastAsia" w:ascii="宋体" w:hAnsi="宋体" w:cs="宋体"/>
          <w:b/>
          <w:bCs/>
          <w:sz w:val="24"/>
          <w:szCs w:val="20"/>
        </w:rPr>
        <w:outlineLvl w:val="1"/>
      </w:pPr>
      <w:r>
        <w:rPr>
          <w:rFonts w:hint="eastAsia" w:ascii="宋体" w:hAnsi="宋体" w:cs="宋体"/>
          <w:b/>
          <w:bCs/>
          <w:sz w:val="24"/>
          <w:szCs w:val="20"/>
        </w:rPr>
        <w:t xml:space="preserve">分包一：公共数据平台优化升级及数据治理应用项目</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依据《江苏省公共数据攻坚三年行动方案（2024-2026年）》、《江苏省公共数据“一本账”试点工作方案》等文件要求，基于现有盐城市公共数据平台，全面升级优化打造全市数字资源“一本账”管理系统和新一代公共数据平台，推动全市公共数据清查治理和开发利用，切实解决全市公共数据资源归集治理、开发利用等方面突出问题，实现公共数据资源供给规模、治理效能显著提升，助力全市公共数据“一本账”管理、“一平台”运营、“一体化”应用。</w:t>
      </w:r>
      <w:r/>
    </w:p>
    <w:p>
      <w:pPr>
        <w:ind w:firstLine="482"/>
        <w:jc w:val="left"/>
        <w:spacing w:line="560" w:lineRule="exact"/>
        <w:widowControl/>
        <w:rPr>
          <w:rFonts w:hint="eastAsia" w:ascii="宋体" w:hAnsi="宋体" w:cs="宋体"/>
          <w:b/>
          <w:bCs/>
          <w:sz w:val="24"/>
          <w:szCs w:val="20"/>
        </w:rPr>
        <w:outlineLvl w:val="2"/>
      </w:pPr>
      <w:r>
        <w:rPr>
          <w:rFonts w:hint="eastAsia" w:ascii="宋体" w:hAnsi="宋体" w:eastAsia="Arial" w:cs="宋体"/>
          <w:b/>
          <w:bCs/>
          <w:sz w:val="24"/>
          <w:szCs w:val="20"/>
        </w:rPr>
        <w:t xml:space="preserve">一、</w:t>
      </w:r>
      <w:r>
        <w:rPr>
          <w:rFonts w:hint="eastAsia" w:ascii="宋体" w:hAnsi="宋体" w:eastAsia="宋体" w:cs="宋体"/>
          <w:b/>
          <w:bCs/>
          <w:sz w:val="24"/>
          <w:szCs w:val="20"/>
        </w:rPr>
        <w:t xml:space="preserve">技术要求</w:t>
      </w:r>
      <w:r/>
    </w:p>
    <w:p>
      <w:pPr>
        <w:ind w:firstLine="482"/>
        <w:jc w:val="left"/>
        <w:spacing w:line="560" w:lineRule="exact"/>
        <w:widowControl/>
        <w:rPr>
          <w:rFonts w:hint="eastAsia" w:ascii="宋体" w:hAnsi="宋体" w:cs="宋体"/>
          <w:b/>
          <w:bCs/>
          <w:sz w:val="24"/>
          <w:szCs w:val="20"/>
        </w:rPr>
        <w:outlineLvl w:val="3"/>
      </w:pPr>
      <w:r>
        <w:rPr>
          <w:rFonts w:hint="eastAsia" w:ascii="宋体" w:hAnsi="宋体" w:eastAsia="宋体" w:cs="宋体"/>
          <w:b/>
          <w:bCs/>
          <w:sz w:val="24"/>
          <w:szCs w:val="20"/>
        </w:rPr>
        <w:t xml:space="preserve">（一）建设</w:t>
      </w:r>
      <w:r>
        <w:rPr>
          <w:rFonts w:ascii="宋体" w:hAnsi="宋体" w:eastAsia="Arial" w:cs="宋体"/>
          <w:b/>
          <w:bCs/>
          <w:sz w:val="24"/>
          <w:szCs w:val="20"/>
        </w:rPr>
        <w:t xml:space="preserve">内容</w:t>
      </w:r>
      <w:r/>
    </w:p>
    <w:p>
      <w:pPr>
        <w:ind w:firstLine="482"/>
        <w:jc w:val="left"/>
        <w:spacing w:line="560" w:lineRule="exact"/>
        <w:widowControl/>
        <w:rPr>
          <w:sz w:val="24"/>
        </w:rPr>
        <w:outlineLvl w:val="4"/>
      </w:pPr>
      <w:r>
        <w:rPr>
          <w:rFonts w:hint="eastAsia" w:ascii="宋体" w:hAnsi="宋体" w:cs="宋体"/>
          <w:b/>
          <w:bCs/>
          <w:sz w:val="24"/>
          <w:szCs w:val="20"/>
        </w:rPr>
        <w:t xml:space="preserve">1.新建数字资源“一本账</w:t>
      </w:r>
      <w:r>
        <w:rPr>
          <w:rFonts w:ascii="宋体" w:hAnsi="宋体" w:cs="宋体"/>
          <w:b/>
          <w:bCs/>
          <w:sz w:val="24"/>
          <w:szCs w:val="20"/>
        </w:rPr>
        <w:t xml:space="preserve">”</w:t>
      </w:r>
      <w:r>
        <w:rPr>
          <w:rFonts w:hint="eastAsia" w:ascii="宋体" w:hAnsi="宋体" w:cs="宋体"/>
          <w:b/>
          <w:bCs/>
          <w:sz w:val="24"/>
          <w:szCs w:val="20"/>
        </w:rPr>
        <w:t xml:space="preserve">管理系统</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建设数字资源“一本账”管理系统，生成项目、系统、数据等全要素账本，按照统一对接标准，汇聚形成全市“一本账”，形成数据、云网、事项等各类资源的数据全景，为各地各部门深化数字政府建设，实现数据赋能数字经济、数字社会发展等，提供数据要素支撑。主要建设内容包括：</w:t>
      </w:r>
      <w:r/>
    </w:p>
    <w:p>
      <w:pPr>
        <w:numPr>
          <w:ilvl w:val="0"/>
          <w:numId w:val="2"/>
        </w:num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“一本账”首页</w:t>
      </w:r>
      <w:r/>
    </w:p>
    <w:p>
      <w:pPr>
        <w:ind w:firstLine="482"/>
        <w:jc w:val="left"/>
        <w:spacing w:line="560" w:lineRule="exact"/>
        <w:widowControl/>
        <w:rPr>
          <w:rFonts w:hint="eastAsia" w:ascii="宋体" w:hAnsi="宋体" w:eastAsia="宋体" w:cs="宋体"/>
          <w:b/>
          <w:bCs/>
          <w:sz w:val="24"/>
          <w:szCs w:val="20"/>
        </w:rPr>
      </w:pPr>
      <w:r>
        <w:rPr>
          <w:rFonts w:hint="eastAsia" w:ascii="宋体" w:hAnsi="宋体" w:eastAsia="宋体" w:cs="宋体"/>
          <w:sz w:val="24"/>
          <w:szCs w:val="20"/>
        </w:rPr>
        <w:t xml:space="preserve">提供综合检索、系统消息、公共数据</w:t>
      </w:r>
      <w:r>
        <w:rPr>
          <w:rFonts w:ascii="宋体" w:hAnsi="宋体" w:eastAsia="宋体" w:cs="宋体"/>
          <w:sz w:val="24"/>
          <w:szCs w:val="20"/>
        </w:rPr>
        <w:t xml:space="preserve">“</w:t>
      </w:r>
      <w:r>
        <w:rPr>
          <w:rFonts w:hint="eastAsia" w:ascii="宋体" w:hAnsi="宋体" w:eastAsia="宋体" w:cs="宋体"/>
          <w:sz w:val="24"/>
          <w:szCs w:val="20"/>
        </w:rPr>
        <w:t xml:space="preserve">一本账</w:t>
      </w:r>
      <w:r>
        <w:rPr>
          <w:rFonts w:ascii="宋体" w:hAnsi="宋体" w:eastAsia="宋体" w:cs="宋体"/>
          <w:sz w:val="24"/>
          <w:szCs w:val="20"/>
        </w:rPr>
        <w:t xml:space="preserve">”</w:t>
      </w:r>
      <w:r>
        <w:rPr>
          <w:rFonts w:hint="eastAsia" w:ascii="宋体" w:hAnsi="宋体" w:eastAsia="宋体" w:cs="宋体"/>
          <w:sz w:val="24"/>
          <w:szCs w:val="20"/>
        </w:rPr>
        <w:t xml:space="preserve">管理架构展示等功能，包括但不限于：</w:t>
      </w:r>
      <w:r/>
    </w:p>
    <w:tbl>
      <w:tblPr>
        <w:tblStyle w:val="7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7"/>
        <w:gridCol w:w="1645"/>
        <w:gridCol w:w="5518"/>
      </w:tblGrid>
      <w:tr>
        <w:trPr/>
        <w:tc>
          <w:tcPr>
            <w:tcW w:w="1467"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1645"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子功能模块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5518"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功能要求</w:t>
            </w:r>
            <w:r/>
          </w:p>
        </w:tc>
      </w:tr>
      <w:tr>
        <w:trPr/>
        <w:tc>
          <w:tcPr>
            <w:tcW w:w="1467" w:type="dxa"/>
            <w:vAlign w:val="center"/>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综合检索</w:t>
            </w:r>
            <w:r/>
          </w:p>
        </w:tc>
        <w:tc>
          <w:tcPr>
            <w:tcW w:w="1645" w:type="dxa"/>
            <w:vAlign w:val="center"/>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提供各账本清单的统一检索入口，快速定位具体清单资源。</w:t>
            </w:r>
            <w:r/>
          </w:p>
        </w:tc>
      </w:tr>
      <w:tr>
        <w:trPr/>
        <w:tc>
          <w:tcPr>
            <w:tcW w:w="1467" w:type="dxa"/>
            <w:vAlign w:val="center"/>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系统消息</w:t>
            </w:r>
            <w:r/>
          </w:p>
        </w:tc>
        <w:tc>
          <w:tcPr>
            <w:tcW w:w="1645" w:type="dxa"/>
            <w:vAlign w:val="center"/>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W w:w="5518"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集成各类系统提醒消息，支持实时接收并展示消息通知，点击展示消息详情。</w:t>
            </w:r>
            <w:r/>
          </w:p>
        </w:tc>
      </w:tr>
      <w:tr>
        <w:trPr/>
        <w:tc>
          <w:tcPr>
            <w:tcW w:w="1467" w:type="dxa"/>
            <w:vAlign w:val="center"/>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“一本账”架构展示</w:t>
            </w:r>
            <w:r/>
          </w:p>
        </w:tc>
        <w:tc>
          <w:tcPr>
            <w:tcW w:w="1645" w:type="dxa"/>
            <w:vAlign w:val="center"/>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W w:w="5518"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展示公共数据“一本账”管理架构，并支持集成信息化项目管理系统、政务云管理平台等系统入口。</w:t>
            </w:r>
            <w:r/>
          </w:p>
        </w:tc>
      </w:tr>
    </w:tbl>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w:t>
      </w:r>
      <w:r>
        <w:rPr>
          <w:rFonts w:hint="eastAsia" w:ascii="宋体" w:hAnsi="宋体" w:cs="宋体"/>
          <w:b/>
          <w:bCs/>
          <w:sz w:val="24"/>
          <w:szCs w:val="20"/>
        </w:rPr>
        <w:t xml:space="preserve">2</w:t>
      </w:r>
      <w:r>
        <w:rPr>
          <w:rFonts w:hint="eastAsia" w:ascii="宋体" w:hAnsi="宋体" w:eastAsia="宋体" w:cs="宋体"/>
          <w:b/>
          <w:bCs/>
          <w:sz w:val="24"/>
          <w:szCs w:val="20"/>
        </w:rPr>
        <w:t xml:space="preserve">）业务办理</w:t>
      </w:r>
      <w:r/>
    </w:p>
    <w:p>
      <w:pPr>
        <w:ind w:firstLine="482"/>
        <w:jc w:val="left"/>
        <w:spacing w:line="560" w:lineRule="exact"/>
        <w:widowControl/>
        <w:rPr>
          <w:rFonts w:hint="eastAsia" w:ascii="宋体" w:hAnsi="宋体" w:eastAsia="宋体" w:cs="宋体"/>
          <w:b/>
          <w:bCs/>
          <w:sz w:val="24"/>
          <w:szCs w:val="20"/>
        </w:rPr>
      </w:pPr>
      <w:r>
        <w:rPr>
          <w:rFonts w:hint="eastAsia"/>
          <w:sz w:val="24"/>
        </w:rPr>
        <w:t xml:space="preserve">集成公共数据平台各数据业务办理入口和待办事项，打造统一业务办理工作模块。</w:t>
      </w:r>
      <w:r>
        <w:rPr>
          <w:rFonts w:hint="eastAsia" w:ascii="宋体" w:hAnsi="宋体" w:eastAsia="宋体" w:cs="宋体"/>
          <w:sz w:val="24"/>
          <w:szCs w:val="20"/>
        </w:rPr>
        <w:t xml:space="preserve">包括但不限于：</w:t>
      </w:r>
      <w:r/>
    </w:p>
    <w:tbl>
      <w:tblPr>
        <w:tblStyle w:val="7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4"/>
        <w:gridCol w:w="1642"/>
        <w:gridCol w:w="5524"/>
      </w:tblGrid>
      <w:tr>
        <w:trPr/>
        <w:tc>
          <w:tcPr>
            <w:tcW w:w="1464"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1642"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子功能模块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5524"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功能要求</w:t>
            </w:r>
            <w:r/>
          </w:p>
        </w:tc>
      </w:tr>
      <w:tr>
        <w:trPr/>
        <w:tc>
          <w:tcPr>
            <w:tcW w:w="1464" w:type="dxa"/>
            <w:vAlign w:val="center"/>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系统集成</w:t>
            </w:r>
            <w:r/>
          </w:p>
        </w:tc>
        <w:tc>
          <w:tcPr>
            <w:tcW w:w="1642" w:type="dxa"/>
            <w:vAlign w:val="center"/>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W w:w="5524"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集成公共数据平台全流程管理相关系统模块入口</w:t>
            </w:r>
            <w:r/>
          </w:p>
        </w:tc>
      </w:tr>
      <w:tr>
        <w:trPr/>
        <w:tc>
          <w:tcPr>
            <w:tcW w:w="1464" w:type="dxa"/>
            <w:vAlign w:val="center"/>
            <w:vMerge w:val="restart"/>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待办事项</w:t>
            </w:r>
            <w:r/>
          </w:p>
        </w:tc>
        <w:tc>
          <w:tcPr>
            <w:tcW w:w="1642" w:type="dxa"/>
            <w:vAlign w:val="center"/>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待办事项</w:t>
            </w:r>
            <w:r/>
          </w:p>
        </w:tc>
        <w:tc>
          <w:tcPr>
            <w:tcW w:w="5524"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集成平台各类待办、审批事项，支持基于信息化项目管理、云资源申请、公共数据管理等业务场景的清单数据，自动触发待办事项生成，支持展示待办事项简要信息（如时间、事项类型等）预览，提供一键跳转去处理、查看更多等操作。</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已办事项</w:t>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为用户提供已办事项的查看，支持已办事项类型、办理时间等简要信息展示，支持查看历史处理的审批事项和通知，支持按办理时间排序展示。</w:t>
            </w:r>
            <w:r/>
          </w:p>
        </w:tc>
      </w:tr>
    </w:tbl>
    <w:p>
      <w:pPr>
        <w:ind w:firstLine="482"/>
        <w:jc w:val="left"/>
        <w:spacing w:line="560" w:lineRule="exact"/>
        <w:widowControl/>
        <w:rPr>
          <w:rFonts w:hint="eastAsia" w:ascii="宋体" w:hAnsi="宋体" w:cs="宋体"/>
          <w:sz w:val="24"/>
          <w:szCs w:val="20"/>
        </w:rPr>
        <w:outlineLvl w:val="5"/>
      </w:pPr>
      <w:r>
        <w:rPr>
          <w:rFonts w:hint="eastAsia" w:ascii="宋体" w:hAnsi="宋体" w:cs="宋体"/>
          <w:sz w:val="24"/>
          <w:szCs w:val="20"/>
        </w:rPr>
        <w:t xml:space="preserve">（3）清单管理</w:t>
      </w:r>
      <w:r/>
    </w:p>
    <w:p>
      <w:pPr>
        <w:ind w:firstLine="482"/>
        <w:jc w:val="left"/>
        <w:spacing w:line="560" w:lineRule="exact"/>
        <w:widowControl/>
        <w:rPr>
          <w:rFonts w:hint="eastAsia" w:ascii="宋体" w:hAnsi="宋体" w:eastAsia="宋体" w:cs="宋体"/>
          <w:b/>
          <w:bCs/>
          <w:sz w:val="24"/>
          <w:szCs w:val="20"/>
        </w:rPr>
      </w:pPr>
      <w:r>
        <w:rPr>
          <w:rFonts w:hint="eastAsia" w:ascii="宋体" w:hAnsi="宋体" w:cs="宋体"/>
          <w:sz w:val="24"/>
          <w:szCs w:val="20"/>
        </w:rPr>
        <w:t xml:space="preserve">按照江苏省数字资源“一本账”建设要求，与市级信息化项目管理系统、事项库系统、政务云多云管理系统、公共数据平台各相关系统对接，获取“一本账”清单数据，形成全市数据资源、项目、系统、事项、数据设施、标准规范、运行保障、高质量数据集等8个“账本”基础数据清单，支持自定义配置维护清单信息和清单数据项，实现全市公共数据“一本账”管理。</w:t>
      </w:r>
      <w:r>
        <w:rPr>
          <w:rFonts w:hint="eastAsia" w:ascii="宋体" w:hAnsi="宋体" w:eastAsia="宋体" w:cs="宋体"/>
          <w:sz w:val="24"/>
          <w:szCs w:val="20"/>
        </w:rPr>
        <w:t xml:space="preserve">包括但不限于：</w:t>
      </w:r>
      <w:r/>
    </w:p>
    <w:tbl>
      <w:tblPr>
        <w:tblStyle w:val="7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5"/>
        <w:gridCol w:w="1643"/>
        <w:gridCol w:w="5522"/>
      </w:tblGrid>
      <w:tr>
        <w:trPr/>
        <w:tc>
          <w:tcPr>
            <w:tcW w:w="1465" w:type="dxa"/>
            <w:vAlign w:val="center"/>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1643" w:type="dxa"/>
            <w:vAlign w:val="center"/>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子功能模块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5522"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功能要求</w:t>
            </w:r>
            <w:r/>
          </w:p>
        </w:tc>
      </w:tr>
      <w:tr>
        <w:trPr/>
        <w:tc>
          <w:tcPr>
            <w:tcW w:w="1465" w:type="dxa"/>
            <w:vAlign w:val="center"/>
            <w:vMerge w:val="restart"/>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清单管理</w:t>
            </w:r>
            <w:r/>
          </w:p>
        </w:tc>
        <w:tc>
          <w:tcPr>
            <w:tcW w:w="1643"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项目清单管理</w:t>
            </w:r>
            <w:r/>
          </w:p>
        </w:tc>
        <w:tc>
          <w:tcPr>
            <w:tcW w:w="5522"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参照省级数字资源“一本账”清单采集标准，对接相关系统获取项目清单数据，支持项目清单维护、统计、搜索等功能。支持查看项目详情，详情内容包括项目详细信息、关联事项列表、系统列表、数据资源、标准规范、基础设施等列表以及项目图谱展示。</w:t>
            </w:r>
            <w:r/>
          </w:p>
        </w:tc>
      </w:tr>
      <w:tr>
        <w:trPr/>
        <w:tc>
          <w:tcPr>
            <w:tcW w:w="1465"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3"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系统清单管理</w:t>
            </w:r>
            <w:r/>
          </w:p>
        </w:tc>
        <w:tc>
          <w:tcPr>
            <w:tcW w:w="5522"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参照省级数字资源“一本账”清单采集标准，对接相关系统获取系统清单数据，支持系统清单维护、统计、搜索等功能。支持查看系统详情，详情内容包括系统详细信息、关联事项列表、项目列表、数据资源、标准规范、基础设施等列表及系统图谱展示。</w:t>
            </w:r>
            <w:r/>
          </w:p>
        </w:tc>
      </w:tr>
      <w:tr>
        <w:trPr/>
        <w:tc>
          <w:tcPr>
            <w:tcW w:w="1465"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3"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事项清单管理</w:t>
            </w:r>
            <w:r/>
          </w:p>
        </w:tc>
        <w:tc>
          <w:tcPr>
            <w:tcW w:w="5522"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参照省级数字资源“一本账”清单采集标准，对接相关系统获取事项清单数据，支持事项清单的维护、统计、搜索等功能。支持查看事项详情，详细内容包括事项详细信息、关联项目列表、系统列表等详情展示。</w:t>
            </w:r>
            <w:r/>
          </w:p>
        </w:tc>
      </w:tr>
      <w:tr>
        <w:trPr/>
        <w:tc>
          <w:tcPr>
            <w:tcW w:w="1465"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3"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数据清单管理</w:t>
            </w:r>
            <w:r/>
          </w:p>
        </w:tc>
        <w:tc>
          <w:tcPr>
            <w:tcW w:w="5522"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参照省级数字资源“一本账”清单采集标准，对接相关系统获取数据资源清单，展示数据目录、数据归集、电子证照、数据共享、数据开放、风险防控等分清单信息。支持数据清单的维护、统计、搜索等功能。支持查看数据相关各类清单详情，详细内容包括详细信息、关联项目列表、系统列表等详情展示。</w:t>
            </w:r>
            <w:r/>
          </w:p>
        </w:tc>
      </w:tr>
      <w:tr>
        <w:trPr/>
        <w:tc>
          <w:tcPr>
            <w:tcW w:w="1465"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3"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标准规范清单管理</w:t>
            </w:r>
            <w:r/>
          </w:p>
        </w:tc>
        <w:tc>
          <w:tcPr>
            <w:tcW w:w="5522"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参照省级数字资源“一本账”清单采集标准，展示标准规范清单数据，支持标准规范清单的填报、维护、统计、搜索等功能。支持查看标准规范详情，详细内容包括标准规范详细信息、关联项目列表、系统列表等详情展示。</w:t>
            </w:r>
            <w:r/>
          </w:p>
        </w:tc>
      </w:tr>
      <w:tr>
        <w:trPr/>
        <w:tc>
          <w:tcPr>
            <w:tcW w:w="1465"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3"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基础设施清单管理</w:t>
            </w:r>
            <w:r/>
          </w:p>
        </w:tc>
        <w:tc>
          <w:tcPr>
            <w:tcW w:w="5522"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参照省级数字资源“一本账”清单采集标准，对接相关系统获取基础设施清单数据，支持系统清单维护、统计、搜索等功能。支持查看基础设施详情，详情内容包括基础设施详细信息、关联事项列表、项目列表展示。</w:t>
            </w:r>
            <w:r/>
          </w:p>
        </w:tc>
      </w:tr>
      <w:tr>
        <w:trPr/>
        <w:tc>
          <w:tcPr>
            <w:tcW w:w="1465"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3"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运行保障清单管理</w:t>
            </w:r>
            <w:r/>
          </w:p>
        </w:tc>
        <w:tc>
          <w:tcPr>
            <w:tcW w:w="5522"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参照省级数字资源“一本账”清单采集标准，展示运行保障清单数据，支持运行保障清单的填报、维护、统计、搜索等功能。支持查看运行保障清单详情，详细内容包括运行保障详细信息、关联项目列表、系统列表等详情展示。</w:t>
            </w:r>
            <w:r/>
          </w:p>
        </w:tc>
      </w:tr>
      <w:tr>
        <w:trPr/>
        <w:tc>
          <w:tcPr>
            <w:tcW w:w="1465"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3"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高质量数据集清单管理</w:t>
            </w:r>
            <w:r/>
          </w:p>
        </w:tc>
        <w:tc>
          <w:tcPr>
            <w:tcW w:w="5522"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参照省级数字资源“一本账”清单采集标准，展示高质量数据集清单数据，支持高质量数据集清单的填报、维护、统计、搜索等功能。支持查看高质量数据集详情，详细内容包括高质量数据集详细信息、关联项目列表、系统列表等详情展示。</w:t>
            </w:r>
            <w:r/>
          </w:p>
        </w:tc>
      </w:tr>
    </w:tbl>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（4）指标管理</w:t>
      </w:r>
      <w:r/>
    </w:p>
    <w:p>
      <w:pPr>
        <w:ind w:firstLine="482"/>
        <w:jc w:val="left"/>
        <w:spacing w:line="560" w:lineRule="exact"/>
        <w:widowControl/>
        <w:rPr>
          <w:rFonts w:hint="eastAsia" w:ascii="宋体" w:hAnsi="宋体" w:eastAsia="宋体" w:cs="宋体"/>
          <w:b/>
          <w:bCs/>
          <w:sz w:val="24"/>
          <w:szCs w:val="20"/>
        </w:rPr>
      </w:pPr>
      <w:r>
        <w:rPr>
          <w:rFonts w:hint="eastAsia" w:ascii="宋体" w:hAnsi="宋体" w:cs="宋体"/>
          <w:sz w:val="24"/>
          <w:szCs w:val="20"/>
        </w:rPr>
        <w:t xml:space="preserve">基于公共数据“一本账”整体框架涉及项目清单、系统清单、事项清单、数据清单、标准规范清单、运行保障清单和数据基础设施清单、高质量数据集等8张清单数据，按照江苏省数字资源“一本账”指标体系统计要求，进行指标计算分析，完成省要求的指标计算上报任务。</w:t>
      </w:r>
      <w:r>
        <w:rPr>
          <w:rFonts w:hint="eastAsia" w:ascii="宋体" w:hAnsi="宋体" w:eastAsia="宋体" w:cs="宋体"/>
          <w:sz w:val="24"/>
          <w:szCs w:val="20"/>
        </w:rPr>
        <w:t xml:space="preserve">包括但不限于：</w:t>
      </w:r>
      <w:r/>
    </w:p>
    <w:tbl>
      <w:tblPr>
        <w:tblStyle w:val="7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5"/>
        <w:gridCol w:w="1643"/>
        <w:gridCol w:w="5522"/>
      </w:tblGrid>
      <w:tr>
        <w:trPr/>
        <w:tc>
          <w:tcPr>
            <w:tcW w:w="1465"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1643"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子功能模块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5522"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功能要求</w:t>
            </w:r>
            <w:r/>
          </w:p>
        </w:tc>
      </w:tr>
      <w:tr>
        <w:trPr/>
        <w:tc>
          <w:tcPr>
            <w:tcW w:w="1465" w:type="dxa"/>
            <w:vAlign w:val="center"/>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指标展示</w:t>
            </w:r>
            <w:r/>
          </w:p>
        </w:tc>
        <w:tc>
          <w:tcPr>
            <w:tcW w:w="1643"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W w:w="5522" w:type="dxa"/>
            <w:textDirection w:val="lrTb"/>
            <w:noWrap w:val="false"/>
          </w:tcPr>
          <w:p>
            <w:pPr>
              <w:rPr>
                <w:rFonts w:hint="eastAsia" w:ascii="宋体" w:hAnsi="宋体" w:eastAsia="宋体" w:cs="宋体"/>
                <w:color w:val="000000"/>
                <w:szCs w:val="21"/>
                <w:lang w:bidi="ar"/>
              </w:rPr>
            </w:pPr>
            <w:r>
              <w:rPr>
                <w:rFonts w:hint="eastAsia"/>
              </w:rPr>
              <w:t xml:space="preserve">支持按照省数字资源“一本账”指标体系按权限、维度分类展示。</w:t>
            </w:r>
            <w:r/>
          </w:p>
        </w:tc>
      </w:tr>
      <w:tr>
        <w:trPr/>
        <w:tc>
          <w:tcPr>
            <w:tcW w:w="1465" w:type="dxa"/>
            <w:vAlign w:val="center"/>
            <w:vMerge w:val="restart"/>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指标计算</w:t>
            </w:r>
            <w:r/>
          </w:p>
        </w:tc>
        <w:tc>
          <w:tcPr>
            <w:tcW w:w="1643"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业务域管理</w:t>
            </w:r>
            <w:r/>
          </w:p>
        </w:tc>
        <w:tc>
          <w:tcPr>
            <w:tcW w:w="5522"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支持对指标计算的业务域进行配置。</w:t>
            </w:r>
            <w:r/>
          </w:p>
        </w:tc>
      </w:tr>
      <w:tr>
        <w:trPr/>
        <w:tc>
          <w:tcPr>
            <w:tcW w:w="1465" w:type="dxa"/>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3"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维度建模</w:t>
            </w:r>
            <w:r/>
          </w:p>
        </w:tc>
        <w:tc>
          <w:tcPr>
            <w:tcW w:w="5522"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支持对指标计算的维度及模型进行配置。包括维度管理、模型管理。模型管理支持模型基本信息、表字段、分区字段设置。</w:t>
            </w:r>
            <w:r/>
          </w:p>
        </w:tc>
      </w:tr>
      <w:tr>
        <w:trPr/>
        <w:tc>
          <w:tcPr>
            <w:tcW w:w="1465" w:type="dxa"/>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3" w:type="dxa"/>
            <w:vMerge w:val="restart"/>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指标管理</w:t>
            </w:r>
            <w:r/>
          </w:p>
        </w:tc>
        <w:tc>
          <w:tcPr>
            <w:tcW w:w="5522"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指标列表：支持配置定义和配置数据指标，支持基础指标、复合指标、衍生指标配置，支持指标基本信息和指标计算规则配置，支持指标启用/停用、查看、生成API等操作，支持批量导入、一键导出、批量启用、批量停用等批量操作。</w:t>
            </w:r>
            <w:r/>
          </w:p>
        </w:tc>
      </w:tr>
      <w:tr>
        <w:trPr/>
        <w:tc>
          <w:tcPr>
            <w:tcW w:w="1465" w:type="dxa"/>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3" w:type="dxa"/>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22"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指标体系：支持实时查看指标计算结果。</w:t>
            </w:r>
            <w:r/>
          </w:p>
        </w:tc>
      </w:tr>
      <w:tr>
        <w:trPr/>
        <w:tc>
          <w:tcPr>
            <w:tcW w:w="1465" w:type="dxa"/>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3" w:type="dxa"/>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22"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指标组合：支持将多个指标组合成主题模型，支持主题模型分组、主题模型新增、启用、停用、编辑、删除、查看、生成API等操作。</w:t>
            </w:r>
            <w:r/>
          </w:p>
        </w:tc>
      </w:tr>
      <w:tr>
        <w:trPr/>
        <w:tc>
          <w:tcPr>
            <w:tcW w:w="1465" w:type="dxa"/>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3"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指标计算</w:t>
            </w:r>
            <w:r/>
          </w:p>
        </w:tc>
        <w:tc>
          <w:tcPr>
            <w:tcW w:w="5522"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支持计算任务配置、执行计算、批量执行计算等操作。</w:t>
            </w:r>
            <w:r/>
          </w:p>
        </w:tc>
      </w:tr>
      <w:tr>
        <w:trPr/>
        <w:tc>
          <w:tcPr>
            <w:tcW w:w="1465" w:type="dxa"/>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3" w:type="dxa"/>
            <w:vMerge w:val="restart"/>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指标服务</w:t>
            </w:r>
            <w:r/>
          </w:p>
        </w:tc>
        <w:tc>
          <w:tcPr>
            <w:tcW w:w="5522"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指标API服务：支持将单指标、指标组合、明细表生成API。</w:t>
            </w:r>
            <w:r/>
          </w:p>
        </w:tc>
      </w:tr>
      <w:tr>
        <w:trPr/>
        <w:tc>
          <w:tcPr>
            <w:tcW w:w="1465" w:type="dxa"/>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3" w:type="dxa"/>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22"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多维分析：支持通过勾选拖动将指标在线组成统计报表，支持报表导出。</w:t>
            </w:r>
            <w:r/>
          </w:p>
        </w:tc>
      </w:tr>
      <w:tr>
        <w:trPr/>
        <w:tc>
          <w:tcPr>
            <w:tcW w:w="1465" w:type="dxa"/>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3"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指标运维</w:t>
            </w:r>
            <w:r/>
          </w:p>
        </w:tc>
        <w:tc>
          <w:tcPr>
            <w:tcW w:w="5522"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支持指标任务运维和任务实例运维。</w:t>
            </w:r>
            <w:r/>
          </w:p>
        </w:tc>
      </w:tr>
      <w:tr>
        <w:trPr/>
        <w:tc>
          <w:tcPr>
            <w:tcW w:w="1465" w:type="dxa"/>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3"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指标地图</w:t>
            </w:r>
            <w:r/>
          </w:p>
        </w:tc>
        <w:tc>
          <w:tcPr>
            <w:tcW w:w="5522"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提供指标地图，支持指标搜索、指标分类统计、指标三级业务域检索、查看指标详情、下载API文档、在线分析。</w:t>
            </w:r>
            <w:r/>
          </w:p>
        </w:tc>
      </w:tr>
    </w:tbl>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（5）运营管理</w:t>
      </w:r>
      <w:r/>
    </w:p>
    <w:p>
      <w:pPr>
        <w:ind w:firstLine="482"/>
        <w:jc w:val="left"/>
        <w:spacing w:line="560" w:lineRule="exact"/>
        <w:widowControl/>
        <w:rPr>
          <w:rFonts w:hint="eastAsia" w:ascii="宋体" w:hAnsi="宋体" w:eastAsia="宋体" w:cs="宋体"/>
          <w:b/>
          <w:bCs/>
          <w:sz w:val="24"/>
          <w:szCs w:val="20"/>
        </w:rPr>
      </w:pPr>
      <w:r>
        <w:rPr>
          <w:rFonts w:hint="eastAsia" w:ascii="宋体" w:hAnsi="宋体" w:cs="宋体"/>
          <w:sz w:val="24"/>
          <w:szCs w:val="20"/>
        </w:rPr>
        <w:t xml:space="preserve">立足全市数据管理部门、数据提供部门、数据使用部门视角，围绕全市各级各部门产数、用数、供数维度，建立数据运营评估指标，动态评估各级各部门产数、用数、供数效能，促进全市各级各部门高效开展数据开发利用工作。</w:t>
      </w:r>
      <w:r>
        <w:rPr>
          <w:rFonts w:hint="eastAsia" w:ascii="宋体" w:hAnsi="宋体" w:eastAsia="宋体" w:cs="宋体"/>
          <w:sz w:val="24"/>
          <w:szCs w:val="20"/>
        </w:rPr>
        <w:t xml:space="preserve">包括但不限于：</w:t>
      </w:r>
      <w:r/>
    </w:p>
    <w:tbl>
      <w:tblPr>
        <w:tblStyle w:val="7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7"/>
        <w:gridCol w:w="1645"/>
        <w:gridCol w:w="5518"/>
      </w:tblGrid>
      <w:tr>
        <w:trPr/>
        <w:tc>
          <w:tcPr>
            <w:tcW w:w="1467"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1645"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子功能模块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5518"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功能要求</w:t>
            </w:r>
            <w:r/>
          </w:p>
        </w:tc>
      </w:tr>
      <w:tr>
        <w:trPr/>
        <w:tc>
          <w:tcPr>
            <w:tcW w:w="1467" w:type="dxa"/>
            <w:vAlign w:val="center"/>
            <w:vMerge w:val="restart"/>
            <w:textDirection w:val="lrTb"/>
            <w:noWrap w:val="false"/>
          </w:tcPr>
          <w:p>
            <w:pPr>
              <w:spacing w:line="40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运营管理</w:t>
            </w:r>
            <w:r/>
          </w:p>
        </w:tc>
        <w:tc>
          <w:tcPr>
            <w:tcW w:w="1645"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核心指标展示</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按市县两级用户层级、权限分类围绕全市各级各部门产数、用数、供数维度，依托数字资源“一本账”指标体系，动态评估该部门产数、用数、供数效能。</w:t>
            </w:r>
            <w:r/>
          </w:p>
        </w:tc>
      </w:tr>
      <w:tr>
        <w:trPr/>
        <w:tc>
          <w:tcPr>
            <w:tcW w:w="1467" w:type="dxa"/>
            <w:vAlign w:val="center"/>
            <w:vMerge w:val="continue"/>
            <w:textDirection w:val="lrTb"/>
            <w:noWrap w:val="false"/>
          </w:tcPr>
          <w:p>
            <w:pPr>
              <w:spacing w:line="40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问题预警展示</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按市县两级用户层级、权限分类预警数字资源“一本账”指标反馈的项目、系统、云网、数据管理过程中的问题。</w:t>
            </w:r>
            <w:r/>
          </w:p>
        </w:tc>
      </w:tr>
      <w:tr>
        <w:trPr/>
        <w:tc>
          <w:tcPr>
            <w:tcW w:w="1467" w:type="dxa"/>
            <w:vAlign w:val="center"/>
            <w:vMerge w:val="continue"/>
            <w:textDirection w:val="lrTb"/>
            <w:noWrap w:val="false"/>
          </w:tcPr>
          <w:p>
            <w:pPr>
              <w:spacing w:line="40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数据开发利用效能评估展示</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按市县两级用户层级、权限分类展示数据共享、开放、授权运营、风险防控情况。</w:t>
            </w:r>
            <w:r/>
          </w:p>
        </w:tc>
      </w:tr>
      <w:tr>
        <w:trPr/>
        <w:tc>
          <w:tcPr>
            <w:tcW w:w="1467" w:type="dxa"/>
            <w:vAlign w:val="center"/>
            <w:vMerge w:val="continue"/>
            <w:textDirection w:val="lrTb"/>
            <w:noWrap w:val="false"/>
          </w:tcPr>
          <w:p>
            <w:pPr>
              <w:spacing w:line="40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高频订阅数据清单展示</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展示全市高频订阅数据目录清单。</w:t>
            </w:r>
            <w:r/>
          </w:p>
        </w:tc>
      </w:tr>
    </w:tbl>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（6）智能服务</w:t>
      </w:r>
      <w:r/>
    </w:p>
    <w:p>
      <w:pPr>
        <w:ind w:firstLine="482"/>
        <w:jc w:val="left"/>
        <w:spacing w:line="560" w:lineRule="exact"/>
        <w:widowControl/>
        <w:rPr>
          <w:rFonts w:hint="eastAsia" w:ascii="宋体" w:hAnsi="宋体" w:eastAsia="宋体" w:cs="宋体"/>
          <w:b/>
          <w:bCs/>
          <w:sz w:val="24"/>
          <w:szCs w:val="20"/>
        </w:rPr>
      </w:pPr>
      <w:r>
        <w:rPr>
          <w:rFonts w:hint="eastAsia" w:ascii="宋体" w:hAnsi="宋体" w:cs="宋体"/>
          <w:sz w:val="24"/>
          <w:szCs w:val="20"/>
        </w:rPr>
        <w:t xml:space="preserve">基于政务云提供通用大模型能力，构建智能体服务。主要包括智能找数、智能问数、智能治理等类型智能体开发服务。</w:t>
      </w:r>
      <w:r>
        <w:rPr>
          <w:rFonts w:hint="eastAsia" w:ascii="宋体" w:hAnsi="宋体" w:eastAsia="宋体" w:cs="宋体"/>
          <w:sz w:val="24"/>
          <w:szCs w:val="20"/>
        </w:rPr>
        <w:t xml:space="preserve">包括但不限于：</w:t>
      </w:r>
      <w:r/>
    </w:p>
    <w:tbl>
      <w:tblPr>
        <w:tblStyle w:val="7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7"/>
        <w:gridCol w:w="1645"/>
        <w:gridCol w:w="5518"/>
      </w:tblGrid>
      <w:tr>
        <w:trPr/>
        <w:tc>
          <w:tcPr>
            <w:tcW w:w="1467"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1645"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子功能模块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5518"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功能要求</w:t>
            </w:r>
            <w:r/>
          </w:p>
        </w:tc>
      </w:tr>
      <w:tr>
        <w:trPr/>
        <w:tc>
          <w:tcPr>
            <w:tcW w:w="1467"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智能找数智能体</w:t>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构建智能找数智能体，支持用户以自然语言提问方式获取数据资源目录信息，通过输入所需的数据资源信息，智能体快速识别提取关键信息，生成查询条件，输出资源名称和匹配度等信息。</w:t>
            </w:r>
            <w:r/>
          </w:p>
        </w:tc>
      </w:tr>
      <w:tr>
        <w:trPr/>
        <w:tc>
          <w:tcPr>
            <w:tcW w:w="1467" w:type="dxa"/>
            <w:vAlign w:val="center"/>
            <w:vMerge w:val="restart"/>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智能问数智能体</w:t>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“一本账”指标问答智能体</w:t>
            </w:r>
            <w:r/>
          </w:p>
        </w:tc>
        <w:tc>
          <w:tcPr>
            <w:tcW w:w="5518"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构建一本账问答智能体，通过自然语言自动解析语义并关联</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一本账</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bidi="ar"/>
              </w:rPr>
              <w:t xml:space="preserve">主题库，实现一本账管理情况的快速统计分析。</w:t>
            </w:r>
            <w:r/>
          </w:p>
        </w:tc>
      </w:tr>
      <w:tr>
        <w:trPr/>
        <w:tc>
          <w:tcPr>
            <w:tcW w:w="1467" w:type="dxa"/>
            <w:vAlign w:val="center"/>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“一企一档”问答智能体</w:t>
            </w:r>
            <w:r/>
          </w:p>
        </w:tc>
        <w:tc>
          <w:tcPr>
            <w:tcW w:w="5518"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构建一企一档问答智能体，通过自然语言自动解析语义并关联“一企一档”主题库，实现全市企业情况的快速统计分析。</w:t>
            </w:r>
            <w:r/>
          </w:p>
        </w:tc>
      </w:tr>
      <w:tr>
        <w:trPr/>
        <w:tc>
          <w:tcPr>
            <w:tcW w:w="1467" w:type="dxa"/>
            <w:vAlign w:val="center"/>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“一人一档”问答智能体</w:t>
            </w:r>
            <w:r/>
          </w:p>
        </w:tc>
        <w:tc>
          <w:tcPr>
            <w:tcW w:w="5518"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构建一人一档问答智能体是以自然语言交互为核心，通过自然语言自动解析语义并关联“一人一档”主题库，实现全市人口情况的快速统计分析。</w:t>
            </w:r>
            <w:r/>
          </w:p>
        </w:tc>
      </w:tr>
      <w:tr>
        <w:trPr/>
        <w:tc>
          <w:tcPr>
            <w:tcW w:w="1467"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智能治理智能体</w:t>
            </w:r>
            <w:r/>
          </w:p>
        </w:tc>
        <w:tc>
          <w:tcPr>
            <w:tcW w:w="1645" w:type="dxa"/>
            <w:vAlign w:val="center"/>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W w:w="5518"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构建智能治理智能体，提供数据质量报告等预设标准化报告模板，通过输入数据质量稽核目标或调整区域/行业/时间颗粒度等关键维度，实现数据质量报告输出，支持PDF报告格式导出。</w:t>
            </w:r>
            <w:r/>
          </w:p>
        </w:tc>
      </w:tr>
    </w:tbl>
    <w:p>
      <w:pPr>
        <w:ind w:firstLine="482"/>
        <w:jc w:val="left"/>
        <w:spacing w:line="560" w:lineRule="exact"/>
        <w:widowControl/>
        <w:rPr>
          <w:rFonts w:hint="eastAsia" w:ascii="宋体" w:hAnsi="宋体" w:cs="宋体"/>
          <w:b/>
          <w:bCs/>
          <w:sz w:val="24"/>
          <w:szCs w:val="20"/>
        </w:rPr>
        <w:outlineLvl w:val="5"/>
      </w:pPr>
      <w:r>
        <w:rPr>
          <w:rFonts w:hint="eastAsia" w:ascii="宋体" w:hAnsi="宋体" w:cs="宋体"/>
          <w:b/>
          <w:bCs/>
          <w:sz w:val="24"/>
          <w:szCs w:val="20"/>
        </w:rPr>
        <w:t xml:space="preserve">（7）“一本账”驾驶舱</w:t>
      </w:r>
      <w:r/>
    </w:p>
    <w:p>
      <w:pPr>
        <w:ind w:firstLine="482"/>
        <w:jc w:val="left"/>
        <w:spacing w:line="560" w:lineRule="exact"/>
        <w:widowControl/>
        <w:rPr>
          <w:rFonts w:hint="eastAsia" w:ascii="宋体" w:hAnsi="宋体" w:eastAsia="宋体" w:cs="宋体"/>
          <w:b/>
          <w:bCs/>
          <w:sz w:val="24"/>
          <w:szCs w:val="20"/>
        </w:rPr>
      </w:pPr>
      <w:r>
        <w:rPr>
          <w:rFonts w:hint="eastAsia" w:ascii="宋体" w:hAnsi="宋体" w:eastAsia="宋体" w:cs="宋体"/>
          <w:sz w:val="24"/>
          <w:szCs w:val="20"/>
        </w:rPr>
        <w:t xml:space="preserve">集成数据资源、项目、系统、事项等全要素核心指标与关键数据，以多样化图表、仪表盘及动态效果呈现公共数据“一本账”整体状态与趋势。包括但不限于：</w:t>
      </w:r>
      <w:r/>
    </w:p>
    <w:tbl>
      <w:tblPr>
        <w:tblStyle w:val="7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6"/>
        <w:gridCol w:w="1746"/>
        <w:gridCol w:w="5518"/>
      </w:tblGrid>
      <w:tr>
        <w:trPr/>
        <w:tc>
          <w:tcPr>
            <w:tcW w:w="1366"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1746"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子功能模块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5518"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功能要求</w:t>
            </w:r>
            <w:r/>
          </w:p>
        </w:tc>
      </w:tr>
      <w:tr>
        <w:trPr/>
        <w:tc>
          <w:tcPr>
            <w:tcW w:w="1366" w:type="dxa"/>
            <w:vAlign w:val="center"/>
            <w:vMerge w:val="restart"/>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“一本账”驾驶舱</w:t>
            </w:r>
            <w:r/>
          </w:p>
        </w:tc>
        <w:tc>
          <w:tcPr>
            <w:tcW w:w="1746"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“一本账”</w:t>
            </w:r>
            <w:r/>
          </w:p>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总览</w:t>
            </w:r>
            <w:r/>
          </w:p>
        </w:tc>
        <w:tc>
          <w:tcPr>
            <w:tcW w:w="5518"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提供“一本账”总驾驶舱，集成数据资源、项目、系统、事项等全要素核心指标与关键数据，支持接入云、网、数、用、安等大屏内容，以多样化图表、仪表盘及动态效果呈现整体状态与趋势。</w:t>
            </w:r>
            <w:r/>
          </w:p>
        </w:tc>
      </w:tr>
      <w:tr>
        <w:trPr/>
        <w:tc>
          <w:tcPr>
            <w:tcW w:w="1366" w:type="dxa"/>
            <w:vAlign w:val="center"/>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746"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项目“一本账”分页</w:t>
            </w:r>
            <w:r/>
          </w:p>
        </w:tc>
        <w:tc>
          <w:tcPr>
            <w:tcW w:w="5518"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对接项目清单和系统清单，将各业务部门项目信息和系统信息进行整合叠加，通过仪表盘、图表等多种方式，对项目总体概览、项目工期分布、各状态项目数量及占比、项目资金来源分布、运维成本分布、各地区项目数量等关键指标进行可视化展示。</w:t>
            </w:r>
            <w:r/>
          </w:p>
        </w:tc>
      </w:tr>
      <w:tr>
        <w:trPr/>
        <w:tc>
          <w:tcPr>
            <w:tcW w:w="1366" w:type="dxa"/>
            <w:vAlign w:val="center"/>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746"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系统“一本账”分页</w:t>
            </w:r>
            <w:r/>
          </w:p>
        </w:tc>
        <w:tc>
          <w:tcPr>
            <w:tcW w:w="5518"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通过仪表盘、图表等多种方式，提供系统建设状态分布、系统建设部门分布、立项情况分析、预算年度分布、资金投入分析、系统整合情况、移动端应用分布、数据生产与存储分析、系统部署情况分布等关键指标可视化展示。</w:t>
            </w:r>
            <w:r/>
          </w:p>
        </w:tc>
      </w:tr>
      <w:tr>
        <w:trPr/>
        <w:tc>
          <w:tcPr>
            <w:tcW w:w="1366" w:type="dxa"/>
            <w:vAlign w:val="center"/>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746"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事项“一本账”分页</w:t>
            </w:r>
            <w:r/>
          </w:p>
        </w:tc>
        <w:tc>
          <w:tcPr>
            <w:tcW w:w="5518"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实现统计事项数量、统计事项类型分布、统计部门事项分布、统计各区县事项分布、统计事项办理所需数据目录数量、统计事项产生数据目录数量等指标可视化展示。</w:t>
            </w:r>
            <w:r/>
          </w:p>
        </w:tc>
      </w:tr>
      <w:tr>
        <w:trPr/>
        <w:tc>
          <w:tcPr>
            <w:tcW w:w="1366" w:type="dxa"/>
            <w:vAlign w:val="center"/>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746"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数据“一本账”分页</w:t>
            </w:r>
            <w:r/>
          </w:p>
        </w:tc>
        <w:tc>
          <w:tcPr>
            <w:tcW w:w="5518"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以可视化方式集中展示数据目录、数据共享、数据开放、数据归集、数据治理、授权运营等指标。</w:t>
            </w:r>
            <w:r/>
          </w:p>
        </w:tc>
      </w:tr>
      <w:tr>
        <w:trPr/>
        <w:tc>
          <w:tcPr>
            <w:tcW w:w="1366" w:type="dxa"/>
            <w:vAlign w:val="center"/>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746"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基础设施“一本账”分页</w:t>
            </w:r>
            <w:r/>
          </w:p>
        </w:tc>
        <w:tc>
          <w:tcPr>
            <w:tcW w:w="5518"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围绕算力设施、存力设施两个维度，对全市智算服务器台数、智算服务器 GPU 卡数、通算服务器台数、通算服务器 CPU 核数、通算服务器内存容量、通算服务器存储容量等指标可视化展示。</w:t>
            </w:r>
            <w:r/>
          </w:p>
        </w:tc>
      </w:tr>
      <w:tr>
        <w:trPr/>
        <w:tc>
          <w:tcPr>
            <w:tcW w:w="1366" w:type="dxa"/>
            <w:vAlign w:val="center"/>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746"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标准规范“一本账”分页</w:t>
            </w:r>
            <w:r/>
          </w:p>
        </w:tc>
        <w:tc>
          <w:tcPr>
            <w:tcW w:w="5518"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对全市参与编写国家标准的数量变化趋势、统计编写的行业标准的数量变化趋势、统计编写的地方标准的数量变化趋势、统计编写的团体标准的数量变化趋势、统计编写的企业标准的数量变化趋势等进行可视化展示。</w:t>
            </w:r>
            <w:r/>
          </w:p>
        </w:tc>
      </w:tr>
      <w:tr>
        <w:trPr/>
        <w:tc>
          <w:tcPr>
            <w:tcW w:w="1366" w:type="dxa"/>
            <w:vAlign w:val="center"/>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746"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运行保障“一本账”分页</w:t>
            </w:r>
            <w:r/>
          </w:p>
        </w:tc>
        <w:tc>
          <w:tcPr>
            <w:tcW w:w="5518"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对全市运维人员投入变化趋势、经费投入变化趋势等关键指标进行可视化展示。</w:t>
            </w:r>
            <w:r/>
          </w:p>
        </w:tc>
      </w:tr>
      <w:tr>
        <w:trPr/>
        <w:tc>
          <w:tcPr>
            <w:tcW w:w="1366" w:type="dxa"/>
            <w:vAlign w:val="center"/>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746"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高质量数据集“一本账”分页</w:t>
            </w:r>
            <w:r/>
          </w:p>
        </w:tc>
        <w:tc>
          <w:tcPr>
            <w:tcW w:w="5518"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对全市高质量数据集的数量、分布、领域等关键指标进行可视化展示。</w:t>
            </w:r>
            <w:r/>
          </w:p>
        </w:tc>
      </w:tr>
    </w:tbl>
    <w:p>
      <w:pPr>
        <w:ind w:firstLine="482"/>
        <w:jc w:val="left"/>
        <w:spacing w:line="560" w:lineRule="exact"/>
        <w:widowControl/>
        <w:rPr>
          <w:rFonts w:hint="eastAsia" w:ascii="宋体" w:hAnsi="宋体" w:cs="宋体"/>
          <w:b/>
          <w:bCs/>
          <w:sz w:val="24"/>
          <w:szCs w:val="20"/>
        </w:rPr>
        <w:outlineLvl w:val="5"/>
      </w:pPr>
      <w:r>
        <w:rPr>
          <w:rFonts w:hint="eastAsia" w:ascii="宋体" w:hAnsi="宋体" w:cs="宋体"/>
          <w:b/>
          <w:bCs/>
          <w:sz w:val="24"/>
          <w:szCs w:val="20"/>
        </w:rPr>
        <w:t xml:space="preserve">（8）“一本账”移动端</w:t>
      </w:r>
      <w:r/>
    </w:p>
    <w:p>
      <w:pPr>
        <w:ind w:firstLine="482"/>
        <w:jc w:val="left"/>
        <w:spacing w:line="560" w:lineRule="exact"/>
        <w:widowControl/>
        <w:rPr>
          <w:rFonts w:hint="eastAsia" w:ascii="宋体" w:hAnsi="宋体" w:eastAsia="宋体" w:cs="宋体"/>
          <w:b/>
          <w:bCs/>
          <w:sz w:val="24"/>
          <w:szCs w:val="20"/>
        </w:rPr>
      </w:pPr>
      <w:r>
        <w:rPr>
          <w:rFonts w:hint="eastAsia" w:ascii="宋体" w:hAnsi="宋体" w:eastAsia="宋体" w:cs="宋体"/>
          <w:sz w:val="24"/>
          <w:szCs w:val="20"/>
        </w:rPr>
        <w:t xml:space="preserve">构建数字资源“一本账”移动端（本项目不单独建设APP，新建移动端内容将按照省市相关要求，接入相关APP），包括但不限于：</w:t>
      </w:r>
      <w:r/>
    </w:p>
    <w:tbl>
      <w:tblPr>
        <w:tblStyle w:val="741"/>
        <w:tblW w:w="4864" w:type="pct"/>
        <w:tblInd w:w="0" w:type="dxa"/>
        <w:tblLayout w:type="fixed"/>
        <w:tblCellMar>
          <w:left w:w="108" w:type="dxa"/>
          <w:top w:w="0" w:type="dxa"/>
          <w:right w:w="108" w:type="dxa"/>
          <w:bottom w:w="0" w:type="dxa"/>
        </w:tblCellMar>
        <w:tblLook w:val="04A0" w:firstRow="1" w:lastRow="0" w:firstColumn="1" w:lastColumn="0" w:noHBand="0" w:noVBand="1"/>
      </w:tblPr>
      <w:tblGrid>
        <w:gridCol w:w="1482"/>
        <w:gridCol w:w="1640"/>
        <w:gridCol w:w="5494"/>
      </w:tblGrid>
      <w:tr>
        <w:trPr>
          <w:trHeight w:val="525"/>
        </w:trPr>
        <w:tc>
          <w:tcPr>
            <w:shd w:val="clear" w:color="auto" w:fill="d7d7d7"/>
            <w:tcBorders>
              <w:top w:val="single" w:color="auto" w:sz="4" w:space="0"/>
              <w:left w:val="single" w:color="auto" w:sz="4" w:space="0"/>
              <w:bottom w:val="single" w:color="000000" w:sz="4" w:space="0"/>
              <w:right w:val="single" w:color="000000" w:sz="4" w:space="0"/>
            </w:tcBorders>
            <w:tcW w:w="1479" w:type="dxa"/>
            <w:vAlign w:val="center"/>
            <w:textDirection w:val="lrTb"/>
            <w:noWrap/>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功能模块名称</w:t>
            </w:r>
            <w:r/>
          </w:p>
        </w:tc>
        <w:tc>
          <w:tcPr>
            <w:shd w:val="clear" w:color="auto" w:fill="d7d7d7"/>
            <w:tcBorders>
              <w:top w:val="single" w:color="auto" w:sz="4" w:space="0"/>
              <w:left w:val="none" w:color="000000" w:sz="4" w:space="0"/>
              <w:bottom w:val="single" w:color="000000" w:sz="4" w:space="0"/>
              <w:right w:val="single" w:color="000000" w:sz="4" w:space="0"/>
            </w:tcBorders>
            <w:tcW w:w="1637" w:type="dxa"/>
            <w:vAlign w:val="center"/>
            <w:textDirection w:val="lrTb"/>
            <w:noWrap/>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子功能模块名称</w:t>
            </w:r>
            <w:r/>
          </w:p>
        </w:tc>
        <w:tc>
          <w:tcPr>
            <w:shd w:val="clear" w:color="auto" w:fill="d7d7d7"/>
            <w:tcBorders>
              <w:top w:val="single" w:color="auto" w:sz="4" w:space="0"/>
              <w:left w:val="none" w:color="000000" w:sz="4" w:space="0"/>
              <w:bottom w:val="single" w:color="000000" w:sz="4" w:space="0"/>
              <w:right w:val="single" w:color="auto" w:sz="4" w:space="0"/>
            </w:tcBorders>
            <w:tcW w:w="5500" w:type="dxa"/>
            <w:vAlign w:val="center"/>
            <w:textDirection w:val="lrTb"/>
            <w:noWrap/>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功能要求</w:t>
            </w:r>
            <w:r/>
          </w:p>
        </w:tc>
      </w:tr>
      <w:tr>
        <w:trPr>
          <w:trHeight w:val="788"/>
        </w:trPr>
        <w:tc>
          <w:tcPr>
            <w:tcBorders>
              <w:top w:val="none" w:color="000000" w:sz="4" w:space="0"/>
              <w:left w:val="single" w:color="auto" w:sz="4" w:space="0"/>
              <w:bottom w:val="single" w:color="000000" w:sz="4" w:space="0"/>
              <w:right w:val="single" w:color="000000" w:sz="4" w:space="0"/>
            </w:tcBorders>
            <w:tcW w:w="1479" w:type="dxa"/>
            <w:vAlign w:val="center"/>
            <w:vMerge w:val="restart"/>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项目“一本账”看板</w:t>
            </w:r>
            <w:r/>
          </w:p>
        </w:tc>
        <w:tc>
          <w:tcPr>
            <w:tcBorders>
              <w:top w:val="single" w:color="000000" w:sz="4" w:space="0"/>
              <w:left w:val="none" w:color="000000" w:sz="4" w:space="0"/>
              <w:bottom w:val="single" w:color="000000" w:sz="4" w:space="0"/>
              <w:right w:val="single" w:color="000000" w:sz="4" w:space="0"/>
            </w:tcBorders>
            <w:tcW w:w="1637"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项目整体状态指标查看</w:t>
            </w:r>
            <w:r/>
          </w:p>
        </w:tc>
        <w:tc>
          <w:tcPr>
            <w:tcBorders>
              <w:top w:val="single" w:color="000000" w:sz="4" w:space="0"/>
              <w:left w:val="none" w:color="000000" w:sz="4" w:space="0"/>
              <w:bottom w:val="single" w:color="000000" w:sz="4" w:space="0"/>
              <w:right w:val="single" w:color="auto" w:sz="4" w:space="0"/>
            </w:tcBorders>
            <w:tcW w:w="5500"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提供项目整体状态指标查看功能，支持移动端展示部门项目总数、关联系统数等总览指标，以及项目清单、关联系统情况等指标数据。</w:t>
            </w:r>
            <w:r/>
          </w:p>
        </w:tc>
      </w:tr>
      <w:tr>
        <w:trPr>
          <w:trHeight w:val="788"/>
        </w:trPr>
        <w:tc>
          <w:tcPr>
            <w:tcBorders>
              <w:top w:val="none" w:color="000000" w:sz="4" w:space="0"/>
              <w:left w:val="single" w:color="auto" w:sz="4" w:space="0"/>
              <w:bottom w:val="single" w:color="000000" w:sz="4" w:space="0"/>
              <w:right w:val="single" w:color="000000" w:sz="4" w:space="0"/>
            </w:tcBorders>
            <w:tcW w:w="1479" w:type="dxa"/>
            <w:vAlign w:val="center"/>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000000" w:sz="4" w:space="0"/>
              <w:left w:val="none" w:color="000000" w:sz="4" w:space="0"/>
              <w:bottom w:val="single" w:color="000000" w:sz="4" w:space="0"/>
              <w:right w:val="single" w:color="000000" w:sz="4" w:space="0"/>
            </w:tcBorders>
            <w:tcW w:w="1637"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项目清单详情查看</w:t>
            </w:r>
            <w:r/>
          </w:p>
        </w:tc>
        <w:tc>
          <w:tcPr>
            <w:tcBorders>
              <w:top w:val="single" w:color="000000" w:sz="4" w:space="0"/>
              <w:left w:val="none" w:color="000000" w:sz="4" w:space="0"/>
              <w:bottom w:val="single" w:color="000000" w:sz="4" w:space="0"/>
              <w:right w:val="single" w:color="auto" w:sz="4" w:space="0"/>
            </w:tcBorders>
            <w:tcW w:w="5500"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提供项目清单详情查看功能，支持移动端展示市级政务信息化项目清单，包括但不限于项目详细信息、关联事项列表、项目列表、数据资源、标准规范、基础设施等列表。</w:t>
            </w:r>
            <w:r/>
          </w:p>
        </w:tc>
      </w:tr>
      <w:tr>
        <w:trPr>
          <w:trHeight w:val="788"/>
        </w:trPr>
        <w:tc>
          <w:tcPr>
            <w:tcBorders>
              <w:top w:val="none" w:color="000000" w:sz="4" w:space="0"/>
              <w:left w:val="single" w:color="auto" w:sz="4" w:space="0"/>
              <w:bottom w:val="single" w:color="000000" w:sz="4" w:space="0"/>
              <w:right w:val="single" w:color="000000" w:sz="4" w:space="0"/>
            </w:tcBorders>
            <w:tcW w:w="1479" w:type="dxa"/>
            <w:vAlign w:val="center"/>
            <w:vMerge w:val="restart"/>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系统“一本账”看板</w:t>
            </w:r>
            <w:r/>
          </w:p>
        </w:tc>
        <w:tc>
          <w:tcPr>
            <w:tcBorders>
              <w:top w:val="single" w:color="000000" w:sz="4" w:space="0"/>
              <w:left w:val="none" w:color="000000" w:sz="4" w:space="0"/>
              <w:bottom w:val="single" w:color="000000" w:sz="4" w:space="0"/>
              <w:right w:val="single" w:color="000000" w:sz="4" w:space="0"/>
            </w:tcBorders>
            <w:tcW w:w="1637"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系统整体状态指标查看</w:t>
            </w:r>
            <w:r/>
          </w:p>
        </w:tc>
        <w:tc>
          <w:tcPr>
            <w:tcBorders>
              <w:top w:val="single" w:color="000000" w:sz="4" w:space="0"/>
              <w:left w:val="none" w:color="000000" w:sz="4" w:space="0"/>
              <w:bottom w:val="single" w:color="000000" w:sz="4" w:space="0"/>
              <w:right w:val="single" w:color="auto" w:sz="4" w:space="0"/>
            </w:tcBorders>
            <w:tcW w:w="5500"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提供系统整体状态指标查看功能，支持移动端展示部门系统整合率、业务系统上云数等总览指标，以及系统清单、部署情况、数据存储等指标数据。</w:t>
            </w:r>
            <w:r/>
          </w:p>
        </w:tc>
      </w:tr>
      <w:tr>
        <w:trPr>
          <w:trHeight w:val="788"/>
        </w:trPr>
        <w:tc>
          <w:tcPr>
            <w:tcBorders>
              <w:top w:val="none" w:color="000000" w:sz="4" w:space="0"/>
              <w:left w:val="single" w:color="auto" w:sz="4" w:space="0"/>
              <w:bottom w:val="single" w:color="000000" w:sz="4" w:space="0"/>
              <w:right w:val="single" w:color="000000" w:sz="4" w:space="0"/>
            </w:tcBorders>
            <w:tcW w:w="1479" w:type="dxa"/>
            <w:vAlign w:val="center"/>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000000" w:sz="4" w:space="0"/>
              <w:left w:val="none" w:color="000000" w:sz="4" w:space="0"/>
              <w:bottom w:val="single" w:color="000000" w:sz="4" w:space="0"/>
              <w:right w:val="single" w:color="000000" w:sz="4" w:space="0"/>
            </w:tcBorders>
            <w:tcW w:w="1637"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系统清单详情查看</w:t>
            </w:r>
            <w:r/>
          </w:p>
        </w:tc>
        <w:tc>
          <w:tcPr>
            <w:tcBorders>
              <w:top w:val="single" w:color="000000" w:sz="4" w:space="0"/>
              <w:left w:val="none" w:color="000000" w:sz="4" w:space="0"/>
              <w:bottom w:val="single" w:color="000000" w:sz="4" w:space="0"/>
              <w:right w:val="single" w:color="auto" w:sz="4" w:space="0"/>
            </w:tcBorders>
            <w:tcW w:w="5500"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提供系统清单详情查看功能，支持移动端展示市级部门系统清单，包括但不限于系统详细信息、关联事项列表、项目列表、数据资源、标准规范、基础设施等列表及系统图谱展示。</w:t>
            </w:r>
            <w:r/>
          </w:p>
        </w:tc>
      </w:tr>
      <w:tr>
        <w:trPr>
          <w:trHeight w:val="525"/>
        </w:trPr>
        <w:tc>
          <w:tcPr>
            <w:tcBorders>
              <w:top w:val="none" w:color="000000" w:sz="4" w:space="0"/>
              <w:left w:val="single" w:color="auto" w:sz="4" w:space="0"/>
              <w:bottom w:val="single" w:color="000000" w:sz="4" w:space="0"/>
              <w:right w:val="single" w:color="000000" w:sz="4" w:space="0"/>
            </w:tcBorders>
            <w:tcW w:w="1479" w:type="dxa"/>
            <w:vAlign w:val="center"/>
            <w:vMerge w:val="restart"/>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事项“一本账”看板</w:t>
            </w:r>
            <w:r/>
          </w:p>
        </w:tc>
        <w:tc>
          <w:tcPr>
            <w:tcBorders>
              <w:top w:val="single" w:color="000000" w:sz="4" w:space="0"/>
              <w:left w:val="none" w:color="000000" w:sz="4" w:space="0"/>
              <w:bottom w:val="single" w:color="000000" w:sz="4" w:space="0"/>
              <w:right w:val="single" w:color="000000" w:sz="4" w:space="0"/>
            </w:tcBorders>
            <w:tcW w:w="1637"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事项整体状态指标查看</w:t>
            </w:r>
            <w:r/>
          </w:p>
        </w:tc>
        <w:tc>
          <w:tcPr>
            <w:tcBorders>
              <w:top w:val="single" w:color="000000" w:sz="4" w:space="0"/>
              <w:left w:val="none" w:color="000000" w:sz="4" w:space="0"/>
              <w:bottom w:val="single" w:color="000000" w:sz="4" w:space="0"/>
              <w:right w:val="single" w:color="auto" w:sz="4" w:space="0"/>
            </w:tcBorders>
            <w:tcW w:w="5500"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提供事项整体状态指标查看功能，支持移动端展示部门事项总数、所需数据满足率、产生数据编目率等总览及指标数据。</w:t>
            </w:r>
            <w:r/>
          </w:p>
        </w:tc>
      </w:tr>
      <w:tr>
        <w:trPr>
          <w:trHeight w:val="788"/>
        </w:trPr>
        <w:tc>
          <w:tcPr>
            <w:tcBorders>
              <w:top w:val="none" w:color="000000" w:sz="4" w:space="0"/>
              <w:left w:val="single" w:color="auto" w:sz="4" w:space="0"/>
              <w:bottom w:val="single" w:color="000000" w:sz="4" w:space="0"/>
              <w:right w:val="single" w:color="000000" w:sz="4" w:space="0"/>
            </w:tcBorders>
            <w:tcW w:w="1479" w:type="dxa"/>
            <w:vAlign w:val="center"/>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000000" w:sz="4" w:space="0"/>
              <w:left w:val="none" w:color="000000" w:sz="4" w:space="0"/>
              <w:bottom w:val="single" w:color="000000" w:sz="4" w:space="0"/>
              <w:right w:val="single" w:color="000000" w:sz="4" w:space="0"/>
            </w:tcBorders>
            <w:tcW w:w="1637"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事项清单详情查看</w:t>
            </w:r>
            <w:r/>
          </w:p>
        </w:tc>
        <w:tc>
          <w:tcPr>
            <w:tcBorders>
              <w:top w:val="single" w:color="000000" w:sz="4" w:space="0"/>
              <w:left w:val="none" w:color="000000" w:sz="4" w:space="0"/>
              <w:bottom w:val="single" w:color="000000" w:sz="4" w:space="0"/>
              <w:right w:val="single" w:color="auto" w:sz="4" w:space="0"/>
            </w:tcBorders>
            <w:tcW w:w="5500"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提供事项清单详情查看功能，支持移动端展示事项清单详情，包括但不限于事项详细信息、关联项目列表、系统列表等详情展示。</w:t>
            </w:r>
            <w:r/>
          </w:p>
        </w:tc>
      </w:tr>
      <w:tr>
        <w:trPr>
          <w:trHeight w:val="788"/>
        </w:trPr>
        <w:tc>
          <w:tcPr>
            <w:tcBorders>
              <w:top w:val="none" w:color="000000" w:sz="4" w:space="0"/>
              <w:left w:val="single" w:color="auto" w:sz="4" w:space="0"/>
              <w:bottom w:val="single" w:color="000000" w:sz="4" w:space="0"/>
              <w:right w:val="single" w:color="000000" w:sz="4" w:space="0"/>
            </w:tcBorders>
            <w:tcW w:w="1479" w:type="dxa"/>
            <w:vAlign w:val="center"/>
            <w:vMerge w:val="restart"/>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数据“一本账”看板</w:t>
            </w:r>
            <w:r/>
          </w:p>
        </w:tc>
        <w:tc>
          <w:tcPr>
            <w:tcBorders>
              <w:top w:val="single" w:color="000000" w:sz="4" w:space="0"/>
              <w:left w:val="none" w:color="000000" w:sz="4" w:space="0"/>
              <w:bottom w:val="single" w:color="000000" w:sz="4" w:space="0"/>
              <w:right w:val="single" w:color="000000" w:sz="4" w:space="0"/>
            </w:tcBorders>
            <w:tcW w:w="1637"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数据整体状态指标查看</w:t>
            </w:r>
            <w:r/>
          </w:p>
        </w:tc>
        <w:tc>
          <w:tcPr>
            <w:tcBorders>
              <w:top w:val="single" w:color="000000" w:sz="4" w:space="0"/>
              <w:left w:val="none" w:color="000000" w:sz="4" w:space="0"/>
              <w:bottom w:val="single" w:color="000000" w:sz="4" w:space="0"/>
              <w:right w:val="single" w:color="auto" w:sz="4" w:space="0"/>
            </w:tcBorders>
            <w:tcW w:w="5500"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提供数据整体状态指标查看功能，支持移动端展示数据目录、资源、治理、使用等总览，以及目录、归集、共享、开放、授权运营等指标数据。</w:t>
            </w:r>
            <w:r/>
          </w:p>
        </w:tc>
      </w:tr>
      <w:tr>
        <w:trPr>
          <w:trHeight w:val="1050"/>
        </w:trPr>
        <w:tc>
          <w:tcPr>
            <w:tcBorders>
              <w:top w:val="none" w:color="000000" w:sz="4" w:space="0"/>
              <w:left w:val="single" w:color="auto" w:sz="4" w:space="0"/>
              <w:bottom w:val="single" w:color="000000" w:sz="4" w:space="0"/>
              <w:right w:val="single" w:color="000000" w:sz="4" w:space="0"/>
            </w:tcBorders>
            <w:tcW w:w="1479" w:type="dxa"/>
            <w:vAlign w:val="center"/>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000000" w:sz="4" w:space="0"/>
              <w:left w:val="none" w:color="000000" w:sz="4" w:space="0"/>
              <w:bottom w:val="single" w:color="000000" w:sz="4" w:space="0"/>
              <w:right w:val="single" w:color="000000" w:sz="4" w:space="0"/>
            </w:tcBorders>
            <w:tcW w:w="1637"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数据清单详情查看</w:t>
            </w:r>
            <w:r/>
          </w:p>
        </w:tc>
        <w:tc>
          <w:tcPr>
            <w:tcBorders>
              <w:top w:val="single" w:color="000000" w:sz="4" w:space="0"/>
              <w:left w:val="none" w:color="000000" w:sz="4" w:space="0"/>
              <w:bottom w:val="single" w:color="000000" w:sz="4" w:space="0"/>
              <w:right w:val="single" w:color="auto" w:sz="4" w:space="0"/>
            </w:tcBorders>
            <w:tcW w:w="5500"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提供数据清单详情查看功能，支持移动端展示公共数据目录、高使用价值数据清单、电子证照制发清单等，包括详细信息、关联项目列表、系统列表等详情展示。</w:t>
            </w:r>
            <w:r/>
          </w:p>
        </w:tc>
      </w:tr>
      <w:tr>
        <w:trPr>
          <w:trHeight w:val="525"/>
        </w:trPr>
        <w:tc>
          <w:tcPr>
            <w:tcBorders>
              <w:top w:val="none" w:color="000000" w:sz="4" w:space="0"/>
              <w:left w:val="single" w:color="auto" w:sz="4" w:space="0"/>
              <w:bottom w:val="single" w:color="000000" w:sz="4" w:space="0"/>
              <w:right w:val="single" w:color="000000" w:sz="4" w:space="0"/>
            </w:tcBorders>
            <w:tcW w:w="1479" w:type="dxa"/>
            <w:vAlign w:val="center"/>
            <w:vMerge w:val="restart"/>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基础设施“一本账”看板</w:t>
            </w:r>
            <w:r/>
          </w:p>
        </w:tc>
        <w:tc>
          <w:tcPr>
            <w:tcBorders>
              <w:top w:val="single" w:color="000000" w:sz="4" w:space="0"/>
              <w:left w:val="none" w:color="000000" w:sz="4" w:space="0"/>
              <w:bottom w:val="single" w:color="000000" w:sz="4" w:space="0"/>
              <w:right w:val="single" w:color="000000" w:sz="4" w:space="0"/>
            </w:tcBorders>
            <w:tcW w:w="1637"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基础设施整体状态指标查看</w:t>
            </w:r>
            <w:r/>
          </w:p>
        </w:tc>
        <w:tc>
          <w:tcPr>
            <w:tcBorders>
              <w:top w:val="single" w:color="000000" w:sz="4" w:space="0"/>
              <w:left w:val="none" w:color="000000" w:sz="4" w:space="0"/>
              <w:bottom w:val="single" w:color="000000" w:sz="4" w:space="0"/>
              <w:right w:val="single" w:color="auto" w:sz="4" w:space="0"/>
            </w:tcBorders>
            <w:tcW w:w="5500"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提供基础设施整体状态指标查看功能，支持移动端展示智算服务器台数、通算服务器存储容量等算力、存力设施指标数据。</w:t>
            </w:r>
            <w:r/>
          </w:p>
        </w:tc>
      </w:tr>
      <w:tr>
        <w:trPr>
          <w:trHeight w:val="788"/>
        </w:trPr>
        <w:tc>
          <w:tcPr>
            <w:tcBorders>
              <w:top w:val="none" w:color="000000" w:sz="4" w:space="0"/>
              <w:left w:val="single" w:color="auto" w:sz="4" w:space="0"/>
              <w:bottom w:val="single" w:color="000000" w:sz="4" w:space="0"/>
              <w:right w:val="single" w:color="000000" w:sz="4" w:space="0"/>
            </w:tcBorders>
            <w:tcW w:w="1479" w:type="dxa"/>
            <w:vAlign w:val="center"/>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000000" w:sz="4" w:space="0"/>
              <w:left w:val="none" w:color="000000" w:sz="4" w:space="0"/>
              <w:bottom w:val="single" w:color="000000" w:sz="4" w:space="0"/>
              <w:right w:val="single" w:color="000000" w:sz="4" w:space="0"/>
            </w:tcBorders>
            <w:tcW w:w="1637"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基础设施清单详情查看</w:t>
            </w:r>
            <w:r/>
          </w:p>
        </w:tc>
        <w:tc>
          <w:tcPr>
            <w:tcBorders>
              <w:top w:val="single" w:color="000000" w:sz="4" w:space="0"/>
              <w:left w:val="none" w:color="000000" w:sz="4" w:space="0"/>
              <w:bottom w:val="single" w:color="000000" w:sz="4" w:space="0"/>
              <w:right w:val="single" w:color="auto" w:sz="4" w:space="0"/>
            </w:tcBorders>
            <w:tcW w:w="5500"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提供基础设施清单详情查看功能，支持移动端展示数据设施清单，包括但不限于基础设施详细信息、关联事项列表、项目列表展示。</w:t>
            </w:r>
            <w:r/>
          </w:p>
        </w:tc>
      </w:tr>
      <w:tr>
        <w:trPr>
          <w:trHeight w:val="525"/>
        </w:trPr>
        <w:tc>
          <w:tcPr>
            <w:tcBorders>
              <w:top w:val="none" w:color="000000" w:sz="4" w:space="0"/>
              <w:left w:val="single" w:color="auto" w:sz="4" w:space="0"/>
              <w:bottom w:val="single" w:color="000000" w:sz="4" w:space="0"/>
              <w:right w:val="single" w:color="000000" w:sz="4" w:space="0"/>
            </w:tcBorders>
            <w:tcW w:w="1479" w:type="dxa"/>
            <w:vAlign w:val="center"/>
            <w:vMerge w:val="restart"/>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标准规范“一本账”看板</w:t>
            </w:r>
            <w:r/>
          </w:p>
        </w:tc>
        <w:tc>
          <w:tcPr>
            <w:tcBorders>
              <w:top w:val="single" w:color="000000" w:sz="4" w:space="0"/>
              <w:left w:val="none" w:color="000000" w:sz="4" w:space="0"/>
              <w:bottom w:val="single" w:color="000000" w:sz="4" w:space="0"/>
              <w:right w:val="single" w:color="000000" w:sz="4" w:space="0"/>
            </w:tcBorders>
            <w:tcW w:w="1637"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标准规范整体状态指标查看</w:t>
            </w:r>
            <w:r/>
          </w:p>
        </w:tc>
        <w:tc>
          <w:tcPr>
            <w:tcBorders>
              <w:top w:val="single" w:color="000000" w:sz="4" w:space="0"/>
              <w:left w:val="none" w:color="000000" w:sz="4" w:space="0"/>
              <w:bottom w:val="single" w:color="000000" w:sz="4" w:space="0"/>
              <w:right w:val="single" w:color="auto" w:sz="4" w:space="0"/>
            </w:tcBorders>
            <w:tcW w:w="5500"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提供标准规范整体状态指标查看功能，支持移动端展示标准规范总数、编制状态、参编国标及行标数等指标数据。</w:t>
            </w:r>
            <w:r/>
          </w:p>
        </w:tc>
      </w:tr>
      <w:tr>
        <w:trPr>
          <w:trHeight w:val="1050"/>
        </w:trPr>
        <w:tc>
          <w:tcPr>
            <w:tcBorders>
              <w:top w:val="none" w:color="000000" w:sz="4" w:space="0"/>
              <w:left w:val="single" w:color="auto" w:sz="4" w:space="0"/>
              <w:bottom w:val="single" w:color="auto" w:sz="4" w:space="0"/>
              <w:right w:val="single" w:color="000000" w:sz="4" w:space="0"/>
            </w:tcBorders>
            <w:tcW w:w="1479" w:type="dxa"/>
            <w:vAlign w:val="center"/>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000000" w:sz="4" w:space="0"/>
              <w:left w:val="none" w:color="000000" w:sz="4" w:space="0"/>
              <w:bottom w:val="single" w:color="auto" w:sz="4" w:space="0"/>
              <w:right w:val="single" w:color="000000" w:sz="4" w:space="0"/>
            </w:tcBorders>
            <w:tcW w:w="1637"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标准规范清单详情查看</w:t>
            </w:r>
            <w:r/>
          </w:p>
        </w:tc>
        <w:tc>
          <w:tcPr>
            <w:tcBorders>
              <w:top w:val="single" w:color="000000" w:sz="4" w:space="0"/>
              <w:left w:val="none" w:color="000000" w:sz="4" w:space="0"/>
              <w:bottom w:val="single" w:color="auto" w:sz="4" w:space="0"/>
              <w:right w:val="single" w:color="auto" w:sz="4" w:space="0"/>
            </w:tcBorders>
            <w:tcW w:w="5500"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提供标准规范清单详情查看功能，支持移动端展示标准规范清单，包括但不限于标准规范详细信息、关联项目列表、系统列表等详情展示。</w:t>
            </w:r>
            <w:r/>
          </w:p>
        </w:tc>
      </w:tr>
      <w:tr>
        <w:trPr>
          <w:trHeight w:val="788"/>
        </w:trPr>
        <w:tc>
          <w:tcPr>
            <w:tcBorders>
              <w:top w:val="single" w:color="auto" w:sz="4" w:space="0"/>
              <w:left w:val="single" w:color="auto" w:sz="4" w:space="0"/>
              <w:bottom w:val="single" w:color="auto" w:sz="4" w:space="0"/>
              <w:right w:val="single" w:color="auto" w:sz="4" w:space="0"/>
            </w:tcBorders>
            <w:tcW w:w="1479" w:type="dxa"/>
            <w:vAlign w:val="center"/>
            <w:vMerge w:val="restart"/>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运营保障“一本账”看板</w:t>
            </w:r>
            <w:r/>
          </w:p>
        </w:tc>
        <w:tc>
          <w:tcPr>
            <w:tcBorders>
              <w:top w:val="single" w:color="auto" w:sz="4" w:space="0"/>
              <w:left w:val="single" w:color="auto" w:sz="4" w:space="0"/>
              <w:bottom w:val="single" w:color="auto" w:sz="4" w:space="0"/>
              <w:right w:val="single" w:color="auto" w:sz="4" w:space="0"/>
            </w:tcBorders>
            <w:tcW w:w="1637"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运营保障整体状态指标查看</w:t>
            </w:r>
            <w:r/>
          </w:p>
        </w:tc>
        <w:tc>
          <w:tcPr>
            <w:tcBorders>
              <w:top w:val="single" w:color="auto" w:sz="4" w:space="0"/>
              <w:left w:val="single" w:color="auto" w:sz="4" w:space="0"/>
              <w:bottom w:val="single" w:color="auto" w:sz="4" w:space="0"/>
              <w:right w:val="single" w:color="auto" w:sz="4" w:space="0"/>
            </w:tcBorders>
            <w:tcW w:w="5500"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提供运营保障整体状态指标查看功能，支持移动端展示运维人数、费用总额、安全事件等总览指标，以及人员、经费、安全保障等指标数据。</w:t>
            </w:r>
            <w:r/>
          </w:p>
        </w:tc>
      </w:tr>
      <w:tr>
        <w:trPr>
          <w:trHeight w:val="788"/>
        </w:trPr>
        <w:tc>
          <w:tcPr>
            <w:tcBorders>
              <w:top w:val="single" w:color="auto" w:sz="4" w:space="0"/>
              <w:left w:val="single" w:color="auto" w:sz="4" w:space="0"/>
              <w:bottom w:val="single" w:color="auto" w:sz="4" w:space="0"/>
              <w:right w:val="single" w:color="auto" w:sz="4" w:space="0"/>
            </w:tcBorders>
            <w:tcW w:w="1479" w:type="dxa"/>
            <w:vAlign w:val="center"/>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1637"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运营保障清单详情查看</w:t>
            </w:r>
            <w:r/>
          </w:p>
        </w:tc>
        <w:tc>
          <w:tcPr>
            <w:tcBorders>
              <w:top w:val="single" w:color="auto" w:sz="4" w:space="0"/>
              <w:left w:val="single" w:color="auto" w:sz="4" w:space="0"/>
              <w:bottom w:val="single" w:color="auto" w:sz="4" w:space="0"/>
              <w:right w:val="single" w:color="auto" w:sz="4" w:space="0"/>
            </w:tcBorders>
            <w:tcW w:w="5500"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提供运营保障清单详情查看功能，支持移动端展示人员、资金、安全保障清单等，包括但不限于详细信息、关联项目列表、系统列表等详情展示。</w:t>
            </w:r>
            <w:r/>
          </w:p>
        </w:tc>
      </w:tr>
      <w:tr>
        <w:trPr>
          <w:trHeight w:val="788"/>
        </w:trPr>
        <w:tc>
          <w:tcPr>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待办通知</w:t>
            </w:r>
            <w:r/>
          </w:p>
        </w:tc>
        <w:tc>
          <w:tcPr>
            <w:tcBorders>
              <w:top w:val="single" w:color="auto" w:sz="4" w:space="0"/>
              <w:left w:val="single" w:color="auto" w:sz="4" w:space="0"/>
              <w:bottom w:val="single" w:color="auto" w:sz="4" w:space="0"/>
              <w:right w:val="single" w:color="auto" w:sz="4" w:space="0"/>
            </w:tcBorders>
            <w:tcW w:w="1637"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Borders>
              <w:top w:val="single" w:color="auto" w:sz="4" w:space="0"/>
              <w:left w:val="single" w:color="auto" w:sz="4" w:space="0"/>
              <w:bottom w:val="single" w:color="auto" w:sz="4" w:space="0"/>
              <w:right w:val="single" w:color="auto" w:sz="4" w:space="0"/>
            </w:tcBorders>
            <w:tcW w:w="5500"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提供各类系统提醒消息，支持实时接收并展示消息通知，点击展示消息详情。</w:t>
            </w:r>
            <w:r/>
          </w:p>
        </w:tc>
      </w:tr>
    </w:tbl>
    <w:p>
      <w:pPr>
        <w:ind w:firstLine="482"/>
        <w:jc w:val="left"/>
        <w:spacing w:line="560" w:lineRule="exact"/>
        <w:widowControl/>
        <w:rPr>
          <w:rFonts w:hint="eastAsia" w:ascii="宋体" w:hAnsi="宋体" w:cs="宋体"/>
          <w:b/>
          <w:bCs/>
          <w:sz w:val="24"/>
          <w:szCs w:val="20"/>
        </w:rPr>
        <w:outlineLvl w:val="5"/>
      </w:pPr>
      <w:r>
        <w:rPr>
          <w:rFonts w:hint="eastAsia" w:ascii="宋体" w:hAnsi="宋体" w:cs="宋体"/>
          <w:b/>
          <w:bCs/>
          <w:sz w:val="24"/>
          <w:szCs w:val="20"/>
        </w:rPr>
        <w:t xml:space="preserve">（9）“一本账”数据对接</w:t>
      </w:r>
      <w:r/>
    </w:p>
    <w:p>
      <w:pPr>
        <w:ind w:firstLine="482"/>
        <w:jc w:val="left"/>
        <w:spacing w:line="560" w:lineRule="exact"/>
        <w:widowControl/>
        <w:rPr>
          <w:rFonts w:hint="eastAsia" w:ascii="宋体" w:hAnsi="宋体" w:cs="宋体"/>
          <w:b/>
          <w:bCs/>
          <w:sz w:val="24"/>
          <w:szCs w:val="20"/>
        </w:rPr>
      </w:pPr>
      <w:r>
        <w:rPr>
          <w:rFonts w:hint="eastAsia" w:ascii="宋体" w:hAnsi="宋体" w:eastAsia="宋体" w:cs="宋体"/>
          <w:sz w:val="24"/>
          <w:szCs w:val="20"/>
        </w:rPr>
        <w:t xml:space="preserve">按照省市相关要求，完成“一本账”数据对接工作，包括但不限于：</w:t>
      </w:r>
      <w:r/>
    </w:p>
    <w:tbl>
      <w:tblPr>
        <w:tblStyle w:val="741"/>
        <w:tblW w:w="4996" w:type="pct"/>
        <w:tblInd w:w="0" w:type="dxa"/>
        <w:tblLayout w:type="fixed"/>
        <w:tblCellMar>
          <w:left w:w="108" w:type="dxa"/>
          <w:top w:w="0" w:type="dxa"/>
          <w:right w:w="108" w:type="dxa"/>
          <w:bottom w:w="0" w:type="dxa"/>
        </w:tblCellMar>
        <w:tblLook w:val="04A0" w:firstRow="1" w:lastRow="0" w:firstColumn="1" w:lastColumn="0" w:noHBand="0" w:noVBand="1"/>
      </w:tblPr>
      <w:tblGrid>
        <w:gridCol w:w="896"/>
        <w:gridCol w:w="1282"/>
        <w:gridCol w:w="1190"/>
        <w:gridCol w:w="5481"/>
      </w:tblGrid>
      <w:tr>
        <w:trPr>
          <w:trHeight w:val="525"/>
        </w:trPr>
        <w:tc>
          <w:tcPr>
            <w:shd w:val="clear" w:color="auto" w:fill="d7d7d7"/>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子系统名称</w:t>
            </w:r>
            <w:r/>
          </w:p>
        </w:tc>
        <w:tc>
          <w:tcPr>
            <w:shd w:val="clear" w:color="auto" w:fill="d7d7d7"/>
            <w:tcBorders>
              <w:top w:val="single" w:color="000000" w:sz="4" w:space="0"/>
              <w:left w:val="none" w:color="000000" w:sz="4" w:space="0"/>
              <w:bottom w:val="single" w:color="000000" w:sz="4" w:space="0"/>
              <w:right w:val="single" w:color="000000" w:sz="4" w:space="0"/>
            </w:tcBorders>
            <w:tcW w:w="1249" w:type="dxa"/>
            <w:vAlign w:val="center"/>
            <w:textDirection w:val="lrTb"/>
            <w:noWrap/>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功能模块名称</w:t>
            </w:r>
            <w:r/>
          </w:p>
        </w:tc>
        <w:tc>
          <w:tcPr>
            <w:shd w:val="clear" w:color="auto" w:fill="d7d7d7"/>
            <w:tcBorders>
              <w:top w:val="single" w:color="000000" w:sz="4" w:space="0"/>
              <w:left w:val="none" w:color="000000" w:sz="4" w:space="0"/>
              <w:bottom w:val="single" w:color="000000" w:sz="4" w:space="0"/>
              <w:right w:val="single" w:color="000000" w:sz="4" w:space="0"/>
            </w:tcBorders>
            <w:tcW w:w="1160" w:type="dxa"/>
            <w:vAlign w:val="center"/>
            <w:textDirection w:val="lrTb"/>
            <w:noWrap/>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子功能模块名称</w:t>
            </w:r>
            <w:r/>
          </w:p>
        </w:tc>
        <w:tc>
          <w:tcPr>
            <w:shd w:val="clear" w:color="auto" w:fill="d7d7d7"/>
            <w:tcBorders>
              <w:top w:val="single" w:color="000000" w:sz="4" w:space="0"/>
              <w:left w:val="none" w:color="000000" w:sz="4" w:space="0"/>
              <w:bottom w:val="single" w:color="000000" w:sz="4" w:space="0"/>
              <w:right w:val="single" w:color="000000" w:sz="4" w:space="0"/>
            </w:tcBorders>
            <w:tcW w:w="5341" w:type="dxa"/>
            <w:vAlign w:val="center"/>
            <w:textDirection w:val="lrTb"/>
            <w:noWrap/>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功能要求</w:t>
            </w:r>
            <w:r/>
          </w:p>
        </w:tc>
      </w:tr>
      <w:tr>
        <w:trPr>
          <w:trHeight w:val="788"/>
        </w:trPr>
        <w:tc>
          <w:tcPr>
            <w:tcBorders>
              <w:top w:val="none" w:color="000000" w:sz="4" w:space="0"/>
              <w:left w:val="single" w:color="000000" w:sz="4" w:space="0"/>
              <w:bottom w:val="single" w:color="000000" w:sz="4" w:space="0"/>
              <w:right w:val="single" w:color="000000" w:sz="4" w:space="0"/>
            </w:tcBorders>
            <w:tcW w:w="873" w:type="dxa"/>
            <w:vAlign w:val="center"/>
            <w:vMerge w:val="restart"/>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“一本账”数据对接</w:t>
            </w:r>
            <w:r/>
          </w:p>
        </w:tc>
        <w:tc>
          <w:tcPr>
            <w:tcBorders>
              <w:top w:val="single" w:color="000000" w:sz="4" w:space="0"/>
              <w:left w:val="none" w:color="000000" w:sz="4" w:space="0"/>
              <w:bottom w:val="single" w:color="000000" w:sz="4" w:space="0"/>
              <w:right w:val="single" w:color="000000" w:sz="4" w:space="0"/>
            </w:tcBorders>
            <w:tcW w:w="1249"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项目“一本账”数据对接</w:t>
            </w:r>
            <w:r/>
          </w:p>
        </w:tc>
        <w:tc>
          <w:tcPr>
            <w:tcBorders>
              <w:top w:val="single" w:color="000000" w:sz="4" w:space="0"/>
              <w:left w:val="none" w:color="000000" w:sz="4" w:space="0"/>
              <w:bottom w:val="single" w:color="000000" w:sz="4" w:space="0"/>
              <w:right w:val="single" w:color="000000" w:sz="4" w:space="0"/>
            </w:tcBorders>
            <w:tcW w:w="1160"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Borders>
              <w:top w:val="single" w:color="000000" w:sz="4" w:space="0"/>
              <w:left w:val="none" w:color="000000" w:sz="4" w:space="0"/>
              <w:bottom w:val="single" w:color="000000" w:sz="4" w:space="0"/>
              <w:right w:val="single" w:color="000000" w:sz="4" w:space="0"/>
            </w:tcBorders>
            <w:tcW w:w="5341"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提供项目“一本账”数据对接功能，支持与市信息化项目管理系统等对接，实现项目清单及指标数据的接入。</w:t>
            </w:r>
            <w:r/>
          </w:p>
        </w:tc>
      </w:tr>
      <w:tr>
        <w:trPr>
          <w:trHeight w:val="273"/>
        </w:trPr>
        <w:tc>
          <w:tcPr>
            <w:tcBorders>
              <w:top w:val="non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000000" w:sz="4" w:space="0"/>
              <w:left w:val="none" w:color="000000" w:sz="4" w:space="0"/>
              <w:bottom w:val="single" w:color="000000" w:sz="4" w:space="0"/>
              <w:right w:val="single" w:color="000000" w:sz="4" w:space="0"/>
            </w:tcBorders>
            <w:tcW w:w="1249"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系统“一本账”数据对接</w:t>
            </w:r>
            <w:r/>
          </w:p>
        </w:tc>
        <w:tc>
          <w:tcPr>
            <w:tcBorders>
              <w:top w:val="single" w:color="000000" w:sz="4" w:space="0"/>
              <w:left w:val="none" w:color="000000" w:sz="4" w:space="0"/>
              <w:bottom w:val="single" w:color="000000" w:sz="4" w:space="0"/>
              <w:right w:val="single" w:color="000000" w:sz="4" w:space="0"/>
            </w:tcBorders>
            <w:tcW w:w="1160"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Borders>
              <w:top w:val="single" w:color="000000" w:sz="4" w:space="0"/>
              <w:left w:val="none" w:color="000000" w:sz="4" w:space="0"/>
              <w:bottom w:val="single" w:color="000000" w:sz="4" w:space="0"/>
              <w:right w:val="single" w:color="000000" w:sz="4" w:space="0"/>
            </w:tcBorders>
            <w:tcW w:w="5341"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提供系统“一本账”数据对接功能，支持与市信息化项目管理系统等对接，接入系统清单、指标数据。</w:t>
            </w:r>
            <w:r/>
          </w:p>
        </w:tc>
      </w:tr>
      <w:tr>
        <w:trPr>
          <w:trHeight w:val="788"/>
        </w:trPr>
        <w:tc>
          <w:tcPr>
            <w:tcBorders>
              <w:top w:val="non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000000" w:sz="4" w:space="0"/>
              <w:left w:val="none" w:color="000000" w:sz="4" w:space="0"/>
              <w:bottom w:val="single" w:color="000000" w:sz="4" w:space="0"/>
              <w:right w:val="single" w:color="000000" w:sz="4" w:space="0"/>
            </w:tcBorders>
            <w:tcW w:w="1249"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事项“一本账”数据对接</w:t>
            </w:r>
            <w:r/>
          </w:p>
        </w:tc>
        <w:tc>
          <w:tcPr>
            <w:tcBorders>
              <w:top w:val="single" w:color="000000" w:sz="4" w:space="0"/>
              <w:left w:val="none" w:color="000000" w:sz="4" w:space="0"/>
              <w:bottom w:val="single" w:color="000000" w:sz="4" w:space="0"/>
              <w:right w:val="single" w:color="000000" w:sz="4" w:space="0"/>
            </w:tcBorders>
            <w:tcW w:w="1160"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Borders>
              <w:top w:val="single" w:color="000000" w:sz="4" w:space="0"/>
              <w:left w:val="none" w:color="000000" w:sz="4" w:space="0"/>
              <w:bottom w:val="single" w:color="000000" w:sz="4" w:space="0"/>
              <w:right w:val="single" w:color="000000" w:sz="4" w:space="0"/>
            </w:tcBorders>
            <w:tcW w:w="5341"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提供事项“一本账”数据对接功能，支持与市事项库等系统对接，接入事项清单数据。</w:t>
            </w:r>
            <w:r/>
          </w:p>
        </w:tc>
      </w:tr>
      <w:tr>
        <w:trPr>
          <w:trHeight w:val="788"/>
        </w:trPr>
        <w:tc>
          <w:tcPr>
            <w:tcBorders>
              <w:top w:val="non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000000" w:sz="4" w:space="0"/>
              <w:left w:val="none" w:color="000000" w:sz="4" w:space="0"/>
              <w:bottom w:val="single" w:color="000000" w:sz="4" w:space="0"/>
              <w:right w:val="single" w:color="000000" w:sz="4" w:space="0"/>
            </w:tcBorders>
            <w:tcW w:w="1249"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数据“一本账”数据对接</w:t>
            </w:r>
            <w:r/>
          </w:p>
        </w:tc>
        <w:tc>
          <w:tcPr>
            <w:tcBorders>
              <w:top w:val="single" w:color="000000" w:sz="4" w:space="0"/>
              <w:left w:val="none" w:color="000000" w:sz="4" w:space="0"/>
              <w:bottom w:val="single" w:color="000000" w:sz="4" w:space="0"/>
              <w:right w:val="single" w:color="000000" w:sz="4" w:space="0"/>
            </w:tcBorders>
            <w:tcW w:w="1160"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Borders>
              <w:top w:val="single" w:color="000000" w:sz="4" w:space="0"/>
              <w:left w:val="none" w:color="000000" w:sz="4" w:space="0"/>
              <w:bottom w:val="single" w:color="000000" w:sz="4" w:space="0"/>
              <w:right w:val="single" w:color="000000" w:sz="4" w:space="0"/>
            </w:tcBorders>
            <w:tcW w:w="5341"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提供数据“一本账”数据对接功能，支持与市公共数据平台等系统对接，接入数据资源清单及指标数据。</w:t>
            </w:r>
            <w:r/>
          </w:p>
        </w:tc>
      </w:tr>
      <w:tr>
        <w:trPr>
          <w:trHeight w:val="788"/>
        </w:trPr>
        <w:tc>
          <w:tcPr>
            <w:tcBorders>
              <w:top w:val="none" w:color="000000" w:sz="4" w:space="0"/>
              <w:left w:val="single" w:color="000000" w:sz="4" w:space="0"/>
              <w:bottom w:val="single" w:color="000000" w:sz="4" w:space="0"/>
              <w:right w:val="single" w:color="000000" w:sz="4" w:space="0"/>
            </w:tcBorders>
            <w:tcW w:w="873" w:type="dxa"/>
            <w:vAlign w:val="center"/>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000000" w:sz="4" w:space="0"/>
              <w:left w:val="none" w:color="000000" w:sz="4" w:space="0"/>
              <w:bottom w:val="single" w:color="000000" w:sz="4" w:space="0"/>
              <w:right w:val="single" w:color="000000" w:sz="4" w:space="0"/>
            </w:tcBorders>
            <w:tcW w:w="1249"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基础设施“一本账”数据对接</w:t>
            </w:r>
            <w:r/>
          </w:p>
        </w:tc>
        <w:tc>
          <w:tcPr>
            <w:tcBorders>
              <w:top w:val="single" w:color="000000" w:sz="4" w:space="0"/>
              <w:left w:val="none" w:color="000000" w:sz="4" w:space="0"/>
              <w:bottom w:val="single" w:color="000000" w:sz="4" w:space="0"/>
              <w:right w:val="single" w:color="000000" w:sz="4" w:space="0"/>
            </w:tcBorders>
            <w:tcW w:w="1160"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Borders>
              <w:top w:val="single" w:color="000000" w:sz="4" w:space="0"/>
              <w:left w:val="none" w:color="000000" w:sz="4" w:space="0"/>
              <w:bottom w:val="single" w:color="000000" w:sz="4" w:space="0"/>
              <w:right w:val="single" w:color="000000" w:sz="4" w:space="0"/>
            </w:tcBorders>
            <w:tcW w:w="5341"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提供基础设施“一本账”数据对接功能，支持与市政务云管理平台等对接，接入基础设施清单及指标数据，确保基础设施“一本账”能够及时获取基础设施的相关数据。</w:t>
            </w:r>
            <w:r/>
          </w:p>
        </w:tc>
      </w:tr>
    </w:tbl>
    <w:p>
      <w:pPr>
        <w:ind w:firstLine="482"/>
        <w:jc w:val="left"/>
        <w:spacing w:line="560" w:lineRule="exact"/>
        <w:widowControl/>
        <w:rPr>
          <w:rFonts w:hint="eastAsia" w:ascii="宋体" w:hAnsi="宋体" w:cs="宋体"/>
          <w:b/>
          <w:bCs/>
          <w:sz w:val="24"/>
          <w:szCs w:val="20"/>
        </w:rPr>
        <w:outlineLvl w:val="5"/>
      </w:pPr>
      <w:r>
        <w:rPr>
          <w:rFonts w:hint="eastAsia" w:ascii="宋体" w:hAnsi="宋体" w:cs="宋体"/>
          <w:b/>
          <w:bCs/>
          <w:sz w:val="24"/>
          <w:szCs w:val="20"/>
        </w:rPr>
        <w:t xml:space="preserve">（10）相关系统对接</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与江苏省数字资源“一本账”平台对接。</w:t>
      </w:r>
      <w:r/>
    </w:p>
    <w:p>
      <w:pPr>
        <w:ind w:firstLine="482"/>
        <w:jc w:val="left"/>
        <w:spacing w:line="560" w:lineRule="exact"/>
        <w:widowControl/>
        <w:rPr>
          <w:rFonts w:hint="eastAsia" w:ascii="宋体" w:hAnsi="宋体" w:cs="宋体"/>
          <w:b/>
          <w:bCs/>
          <w:sz w:val="24"/>
          <w:szCs w:val="20"/>
        </w:rPr>
        <w:outlineLvl w:val="4"/>
      </w:pPr>
      <w:r>
        <w:rPr>
          <w:rFonts w:hint="eastAsia" w:ascii="宋体" w:hAnsi="宋体" w:cs="宋体"/>
          <w:b/>
          <w:bCs/>
          <w:sz w:val="24"/>
          <w:szCs w:val="20"/>
        </w:rPr>
        <w:t xml:space="preserve">2.公共数据平台优化升级</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基于现有盐城市政府信息资源中心（二期）数据目录系统、数据交换系统、数据融合服务系统、数据供需对接系统、数据集成系统、数据治理系统（包含数据标准管理、数据建模管理、数据质量管理、元数据管理、数据资产管理等模块）、政务信息共享网站、公共数据开放网站、运行管理系统、用户管理系统、电子证照管理系统等核心子系统，按照国家、江苏省相关政策要求，升级打造新一代公共数据平台，为市县两级用户提供公共数据管理和开发利用服务。主要建设内容如下：</w:t>
      </w:r>
      <w:r/>
    </w:p>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（1）升级数据目录模块</w:t>
      </w:r>
      <w:r/>
    </w:p>
    <w:p>
      <w:pPr>
        <w:ind w:firstLine="482"/>
        <w:jc w:val="left"/>
        <w:spacing w:line="560" w:lineRule="exact"/>
        <w:widowControl/>
        <w:rPr>
          <w:rFonts w:hint="eastAsia" w:ascii="宋体" w:hAnsi="宋体" w:eastAsia="宋体" w:cs="宋体"/>
          <w:b/>
          <w:bCs/>
          <w:sz w:val="24"/>
          <w:szCs w:val="20"/>
        </w:rPr>
      </w:pPr>
      <w:r>
        <w:rPr>
          <w:rFonts w:hint="eastAsia" w:ascii="宋体" w:hAnsi="宋体" w:cs="宋体"/>
          <w:sz w:val="24"/>
          <w:szCs w:val="20"/>
        </w:rPr>
        <w:t xml:space="preserve">在原有数据目录系统目录分类管理、目录编制、目录审核、目录发布、资源注册、资源挂接、资源审核等功能模块基础上，新增目录概览、目录服务、目录确认单等功能，并完成业务流程变更。</w:t>
      </w:r>
      <w:r>
        <w:rPr>
          <w:rFonts w:hint="eastAsia" w:ascii="宋体" w:hAnsi="宋体" w:eastAsia="宋体" w:cs="宋体"/>
          <w:sz w:val="24"/>
          <w:szCs w:val="20"/>
        </w:rPr>
        <w:t xml:space="preserve">包括但不限于：</w:t>
      </w:r>
      <w:r/>
    </w:p>
    <w:tbl>
      <w:tblPr>
        <w:tblStyle w:val="7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7"/>
        <w:gridCol w:w="1645"/>
        <w:gridCol w:w="5518"/>
      </w:tblGrid>
      <w:tr>
        <w:trPr/>
        <w:tc>
          <w:tcPr>
            <w:tcW w:w="1467"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1645"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子功能模块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5518"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功能要求</w:t>
            </w:r>
            <w:r/>
          </w:p>
        </w:tc>
      </w:tr>
      <w:tr>
        <w:trPr/>
        <w:tc>
          <w:tcPr>
            <w:tcW w:w="1467"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目录概览</w:t>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对现有数据目录系统首页进行优化，展示目录提供分析、目录发布审核分析、资源发布审核分析、资源提供分析。</w:t>
            </w:r>
            <w:r/>
          </w:p>
        </w:tc>
      </w:tr>
      <w:tr>
        <w:trPr/>
        <w:tc>
          <w:tcPr>
            <w:tcW w:w="1467"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目录服务</w:t>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W w:w="5518"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提供多维度目录检索服务，支持对部门目录、基础目录、主题目录、事项目录，按照目录名称、部门名称、模板名称等多种组合条件，进行快速目录查询、浏览等操作。</w:t>
            </w:r>
            <w:r/>
          </w:p>
        </w:tc>
      </w:tr>
      <w:tr>
        <w:trPr/>
        <w:tc>
          <w:tcPr>
            <w:tcW w:w="1467"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目录确认</w:t>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W w:w="5518"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按照省级目录编制要求，数据目录初审通过后自动生成目录确认单，用户可新增下载、上传功能。</w:t>
            </w:r>
            <w:r/>
          </w:p>
        </w:tc>
      </w:tr>
      <w:tr>
        <w:trPr/>
        <w:tc>
          <w:tcPr>
            <w:tcW w:w="1467"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流程变更</w:t>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W w:w="5518"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支持市县两级按照管辖范围实现部门目录编制、部门目录审核、数据局审核的目录管理工作流转流程。</w:t>
            </w:r>
            <w:r/>
          </w:p>
        </w:tc>
      </w:tr>
    </w:tbl>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（2）新建数据规划模块</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新建数据规划模块，支持分层架构、业务分类、主题域、业务过程等的规划及规范定义，对标准、模型的分层分域管理，包括但不限于：</w:t>
      </w:r>
      <w:r/>
    </w:p>
    <w:tbl>
      <w:tblPr>
        <w:tblStyle w:val="7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7"/>
        <w:gridCol w:w="1645"/>
        <w:gridCol w:w="5518"/>
      </w:tblGrid>
      <w:tr>
        <w:trPr/>
        <w:tc>
          <w:tcPr>
            <w:tcW w:w="1467"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1645"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子功能模块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5518"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功能要求</w:t>
            </w:r>
            <w:r/>
          </w:p>
        </w:tc>
      </w:tr>
      <w:tr>
        <w:trPr/>
        <w:tc>
          <w:tcPr>
            <w:tcW w:w="1467" w:type="dxa"/>
            <w:vAlign w:val="center"/>
            <w:vMerge w:val="restart"/>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数据规划</w:t>
            </w:r>
            <w:r/>
          </w:p>
        </w:tc>
        <w:tc>
          <w:tcPr>
            <w:tcW w:w="1645" w:type="dxa"/>
            <w:vAlign w:val="center"/>
            <w:vMerge w:val="restart"/>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数据规划</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展示数据架构，包括业务分类视图、主题域视图、业务过程视图等，提供放大、缩小、下载等操作。</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18"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查看数仓分层，展示数据仓分层列表，查看分层下数据模型，包括模型基本信息、字段详情、关联关系、关系图、数据预览信息等详情信息；提供导出DDL、查看模型版本信息、物化详情等操作。</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数仓分层</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支持数仓分层定义，提供数仓分层新增、编辑、删除等操作。</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restart"/>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业务分类</w:t>
            </w:r>
            <w:r/>
          </w:p>
        </w:tc>
        <w:tc>
          <w:tcPr>
            <w:tcW w:w="5518" w:type="dxa"/>
            <w:textDirection w:val="lrTb"/>
            <w:noWrap w:val="false"/>
          </w:tcPr>
          <w:p>
            <w:pPr>
              <w:jc w:val="left"/>
              <w:spacing w:line="56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支持业务分类管理，提供业务分类新增、编辑、删除等操作。</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支持主题域管理，提供主题域新增、编辑、删除等操作。</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支持业务过程管理，提供业务过程新增、编辑、删除等操作。</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数仓规范</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支持数仓规范管理，支持定义数仓分层选项、自定义选项以及存储策略选项，支持增加或删除自定义选项。</w:t>
            </w:r>
            <w:r/>
          </w:p>
        </w:tc>
      </w:tr>
      <w:tr>
        <w:trPr/>
        <w:tc>
          <w:tcPr>
            <w:tcW w:w="1467"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多租户服务</w:t>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W w:w="5518"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支持多租户服务，面向市直部门及县区数据局提供免费能力复用。</w:t>
            </w:r>
            <w:r/>
          </w:p>
        </w:tc>
      </w:tr>
    </w:tbl>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（3）升级数据标准模块</w:t>
      </w:r>
      <w:r/>
    </w:p>
    <w:p>
      <w:pPr>
        <w:ind w:firstLine="482"/>
        <w:jc w:val="left"/>
        <w:spacing w:line="560" w:lineRule="exact"/>
        <w:widowControl/>
        <w:rPr>
          <w:rFonts w:hint="eastAsia" w:ascii="宋体" w:hAnsi="宋体" w:eastAsia="宋体" w:cs="宋体"/>
          <w:b/>
          <w:bCs/>
          <w:sz w:val="24"/>
          <w:szCs w:val="20"/>
        </w:rPr>
      </w:pPr>
      <w:r>
        <w:rPr>
          <w:rFonts w:hint="eastAsia" w:ascii="宋体" w:hAnsi="宋体" w:cs="宋体"/>
          <w:sz w:val="24"/>
          <w:szCs w:val="20"/>
        </w:rPr>
        <w:t xml:space="preserve">在原有数据标准模块数据标准概览、数据标准分类管理、代码集管理等功能基础上，升级公共标准库、项目标准库、标准文档、数据字典、数据元管理、度量单位、数据标准服务等功能。</w:t>
      </w:r>
      <w:r>
        <w:rPr>
          <w:rFonts w:hint="eastAsia" w:ascii="宋体" w:hAnsi="宋体" w:eastAsia="宋体" w:cs="宋体"/>
          <w:sz w:val="24"/>
          <w:szCs w:val="20"/>
        </w:rPr>
        <w:t xml:space="preserve">包括但不限于：</w:t>
      </w:r>
      <w:r/>
    </w:p>
    <w:tbl>
      <w:tblPr>
        <w:tblStyle w:val="7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7"/>
        <w:gridCol w:w="1645"/>
        <w:gridCol w:w="5518"/>
      </w:tblGrid>
      <w:tr>
        <w:trPr/>
        <w:tc>
          <w:tcPr>
            <w:tcW w:w="1467"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1645"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子功能模块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5518"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功能要求</w:t>
            </w:r>
            <w:r/>
          </w:p>
        </w:tc>
      </w:tr>
      <w:tr>
        <w:trPr/>
        <w:tc>
          <w:tcPr>
            <w:tcW w:w="1467" w:type="dxa"/>
            <w:vAlign w:val="center"/>
            <w:vMerge w:val="restart"/>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数据标准</w:t>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公共标准库</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支持建立公共标准库，包括标准文档、数据字典、数据元管理、度量单位等管理功能，公共标准库由平台管理员统一维护。</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项目标准库</w:t>
            </w:r>
            <w:r/>
          </w:p>
        </w:tc>
        <w:tc>
          <w:tcPr>
            <w:tcW w:w="5518"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支持建立项目标准库，包括标准文档、数据字典、数据元管理等管理功能，项目标准库由各项目团队自主维护。</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标准文档</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标准文档管理，为后期代码集管理、数据元管理、度量单位管理提供来源依据。管理的标准文档包括但不限于国家标准文档、行业标准文档、地方标准、企业标准以及业务相关规范文档、流程文档、制度文档等。提供标准文档分类的新增、删除、编辑等操作，支持新增、删除、编辑标准文档，支持查看标准文档详情。</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数据字典</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支持数据字典管理，提供数据字典分类的新增、删除、编辑等操作，提供数据字典导入\导出、批量发布等功能，支持数据字典的新增、删除、发布、编辑、废弃、详情等操作，支持新增、删除字典项。</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数据元管理</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数据元管理，提供数据元的类型、长度、值域、度量单位等内容维护功能。提供数据元分类的新增、删除、编辑等操作，提供数据元导入\导出、批量发布等功能，支持数据元的新增、删除、发布、编辑、废弃、详情等操作。</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度量单位</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支持度量单位管理，根据自定义需求创建新的度量单位，包</w:t>
            </w:r>
            <w:r>
              <w:rPr>
                <w:rFonts w:hint="eastAsia" w:ascii="宋体" w:hAnsi="宋体" w:eastAsia="宋体" w:cs="宋体"/>
                <w:color w:val="000000"/>
                <w:szCs w:val="21"/>
                <w:lang w:eastAsia="zh-CN" w:bidi="ar"/>
              </w:rPr>
              <w:t xml:space="preserve">括但</w:t>
            </w:r>
            <w:r>
              <w:rPr>
                <w:rFonts w:hint="eastAsia" w:ascii="宋体" w:hAnsi="宋体" w:eastAsia="宋体" w:cs="宋体"/>
                <w:color w:val="000000"/>
                <w:szCs w:val="21"/>
                <w:lang w:bidi="ar"/>
              </w:rPr>
              <w:t xml:space="preserve">不限于货币单位、对象量词、比例单位、排名单位、时间单位等。提供度量单位的新增、删除、编辑等操作。</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数据标准服务</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支持对公共标准库、项目标准库中标准文档、数据字典、数据元进行检索定位。</w:t>
            </w:r>
            <w:r/>
          </w:p>
        </w:tc>
      </w:tr>
      <w:tr>
        <w:trPr/>
        <w:tc>
          <w:tcPr>
            <w:tcW w:w="1467"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多租户服务</w:t>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W w:w="5518"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支持多租户服务，面向市直部门及县区数据局提供免费能力复用。</w:t>
            </w:r>
            <w:r/>
          </w:p>
        </w:tc>
      </w:tr>
    </w:tbl>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（4）升级数据建模模块</w:t>
      </w:r>
      <w:r/>
    </w:p>
    <w:p>
      <w:pPr>
        <w:ind w:firstLine="482"/>
        <w:jc w:val="left"/>
        <w:spacing w:line="560" w:lineRule="exact"/>
        <w:widowControl/>
        <w:rPr>
          <w:rFonts w:hint="eastAsia" w:ascii="宋体" w:hAnsi="宋体" w:eastAsia="宋体" w:cs="宋体"/>
          <w:b/>
          <w:bCs/>
          <w:sz w:val="24"/>
          <w:szCs w:val="20"/>
        </w:rPr>
      </w:pPr>
      <w:r>
        <w:rPr>
          <w:rFonts w:hint="eastAsia" w:ascii="宋体" w:hAnsi="宋体" w:cs="宋体"/>
          <w:sz w:val="24"/>
          <w:szCs w:val="20"/>
        </w:rPr>
        <w:t xml:space="preserve">在原有数据建模模块数据建模分类、逻辑建模、物理建模等功能基础上升级建模概览、维度建模、关系建模等功能。</w:t>
      </w:r>
      <w:r>
        <w:rPr>
          <w:rFonts w:hint="eastAsia" w:ascii="宋体" w:hAnsi="宋体" w:eastAsia="宋体" w:cs="宋体"/>
          <w:sz w:val="24"/>
          <w:szCs w:val="20"/>
        </w:rPr>
        <w:t xml:space="preserve">包括但不限于：</w:t>
      </w:r>
      <w:r/>
    </w:p>
    <w:tbl>
      <w:tblPr>
        <w:tblStyle w:val="7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7"/>
        <w:gridCol w:w="1645"/>
        <w:gridCol w:w="5518"/>
      </w:tblGrid>
      <w:tr>
        <w:trPr/>
        <w:tc>
          <w:tcPr>
            <w:tcW w:w="1467"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1645"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子功能模块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5518"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功能要求</w:t>
            </w:r>
            <w:r/>
          </w:p>
        </w:tc>
      </w:tr>
      <w:tr>
        <w:trPr/>
        <w:tc>
          <w:tcPr>
            <w:tcW w:w="1467" w:type="dxa"/>
            <w:vAlign w:val="center"/>
            <w:vMerge w:val="restart"/>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数据建模</w:t>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建模概览</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提供数据概览功能，包括数仓分层占比情况、业务分类情况、发布模型总量趋势等统计分析。</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restart"/>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维度建模</w:t>
            </w:r>
            <w:r/>
          </w:p>
        </w:tc>
        <w:tc>
          <w:tcPr>
            <w:tcW w:w="5518"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提供新增模型功能，支持维度表设计、明细表设计、汇总表设计，支持模型基本信息配置。</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18"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提供字段信息配置功能，提供字段信息的手动配置、标准导入、Excel导入、代码解析。</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18"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提供关联关系功能，支持创建模型关联关系</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18"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提供展示关系图功能，展示模型关联关系图。</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18"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提供模型管理功能，支持导入模型、导出模型、逆向建模、复制模型、编辑模型、删除模型、查看模型详情。</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restart"/>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关系建模</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提供新增模型功能，配置模型所属的数仓分层、业务分类、模型名称、模型标识、描述等信息。</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设计模型功能，支持通过在画布上灵活拖动进行模型设计，创建表、字段、表与表的关系等内容。提供新增表、保存、导出、查看历史版本、版本对比、查看表详情、设计表关系、表字段配置（支持标准导入、Excel导入、代码解析、删除等操作）、模型发布等功能。</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支持删除关系模型。</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支持编制关系模型。</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支持查看模型基本信息、表字段信息、历史版本、版本比对等详情信息。</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支持查看模型物化记录。</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支持将已存在</w:t>
            </w:r>
            <w:r>
              <w:rPr>
                <w:rFonts w:hint="eastAsia" w:ascii="宋体" w:hAnsi="宋体" w:eastAsia="宋体" w:cs="宋体"/>
                <w:color w:val="000000"/>
                <w:szCs w:val="21"/>
                <w:lang w:eastAsia="zh-CN" w:bidi="ar"/>
              </w:rPr>
              <w:t xml:space="preserve">于</w:t>
            </w:r>
            <w:r>
              <w:rPr>
                <w:rFonts w:hint="eastAsia" w:ascii="宋体" w:hAnsi="宋体" w:eastAsia="宋体" w:cs="宋体"/>
                <w:color w:val="000000"/>
                <w:szCs w:val="21"/>
                <w:lang w:bidi="ar"/>
              </w:rPr>
              <w:t xml:space="preserve">数据库中的数据表模型，逆向生成到关系建模模块，进行维护。</w:t>
            </w:r>
            <w:r/>
          </w:p>
        </w:tc>
      </w:tr>
      <w:tr>
        <w:trPr/>
        <w:tc>
          <w:tcPr>
            <w:tcW w:w="1467"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多租户服务</w:t>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W w:w="5518"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支持多租户服务，面向市直部门及县区数据局提供免费能力复用。</w:t>
            </w:r>
            <w:r/>
          </w:p>
        </w:tc>
      </w:tr>
    </w:tbl>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（5）新建数据开发模块</w:t>
      </w:r>
      <w:r/>
    </w:p>
    <w:p>
      <w:pPr>
        <w:ind w:firstLine="482"/>
        <w:jc w:val="left"/>
        <w:spacing w:line="560" w:lineRule="exact"/>
        <w:widowControl/>
        <w:rPr>
          <w:rFonts w:hint="eastAsia" w:ascii="宋体" w:hAnsi="宋体" w:eastAsia="宋体" w:cs="宋体"/>
          <w:b/>
          <w:bCs/>
          <w:sz w:val="24"/>
          <w:szCs w:val="20"/>
        </w:rPr>
      </w:pPr>
      <w:r>
        <w:rPr>
          <w:rFonts w:hint="eastAsia" w:ascii="宋体" w:hAnsi="宋体" w:eastAsia="宋体" w:cs="宋体"/>
          <w:sz w:val="24"/>
          <w:szCs w:val="20"/>
        </w:rPr>
        <w:t xml:space="preserve">新建数据开发模块，为数据开发者提供在线开发工具，包括但不限于：</w:t>
      </w:r>
      <w:r/>
    </w:p>
    <w:tbl>
      <w:tblPr>
        <w:tblStyle w:val="7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27"/>
        <w:gridCol w:w="1559"/>
        <w:gridCol w:w="5454"/>
      </w:tblGrid>
      <w:tr>
        <w:trPr/>
        <w:tc>
          <w:tcPr>
            <w:tcW w:w="1627"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1559"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子功能模块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5454"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功能要求</w:t>
            </w:r>
            <w:r/>
          </w:p>
        </w:tc>
      </w:tr>
      <w:tr>
        <w:trPr/>
        <w:tc>
          <w:tcPr>
            <w:tcW w:w="1627" w:type="dxa"/>
            <w:vAlign w:val="center"/>
            <w:vMerge w:val="restart"/>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数据开发</w:t>
            </w:r>
            <w:r/>
          </w:p>
        </w:tc>
        <w:tc>
          <w:tcPr>
            <w:tcW w:w="1559" w:type="dxa"/>
            <w:vAlign w:val="center"/>
            <w:vMerge w:val="restart"/>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开发中心</w:t>
            </w:r>
            <w:r/>
          </w:p>
        </w:tc>
        <w:tc>
          <w:tcPr>
            <w:tcW w:w="5454"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提供沉浸式数据开发能力，支持自动提示补全、语法高亮、语句美化、在线调试、语法校验、执行计划、血缘分析、版本对比等。</w:t>
            </w:r>
            <w:r/>
          </w:p>
        </w:tc>
      </w:tr>
      <w:tr>
        <w:trPr/>
        <w:tc>
          <w:tcPr>
            <w:tcW w:w="162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559"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45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支持多版本开发及多种执行模式：Local、Standalone、KubernetesSession、YarnPer-Job、KubernetesApplication。</w:t>
            </w:r>
            <w:r/>
          </w:p>
        </w:tc>
      </w:tr>
      <w:tr>
        <w:trPr/>
        <w:tc>
          <w:tcPr>
            <w:tcW w:w="162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559"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45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支持语法增强，表值聚合函数、全局变量、执行环境、语句合并、库同步等，支持FlinkJava/Scala/PythonUDF开发与自动提交。</w:t>
            </w:r>
            <w:r/>
          </w:p>
        </w:tc>
      </w:tr>
      <w:tr>
        <w:trPr/>
        <w:tc>
          <w:tcPr>
            <w:tcW w:w="162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559"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45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支持SQL作业开发，ClickHouse、Doris、Hive、Mysql、Oracle、Phoenix、PostgreSql、Presto、SqlServer、StarRocks等。</w:t>
            </w:r>
            <w:r/>
          </w:p>
        </w:tc>
      </w:tr>
      <w:tr>
        <w:trPr/>
        <w:tc>
          <w:tcPr>
            <w:tcW w:w="162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559" w:type="dxa"/>
            <w:vAlign w:val="center"/>
            <w:vMerge w:val="restart"/>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运维中心</w:t>
            </w:r>
            <w:r/>
          </w:p>
        </w:tc>
        <w:tc>
          <w:tcPr>
            <w:tcW w:w="5454"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提供任务数统计功能，支持已创建任务数、初始化任务数、运行中任务数、已完成任务数、异常中任务数、已异常任务数、已暂停任务数、停止中任务数、重启中任务数进行统计。</w:t>
            </w:r>
            <w:r/>
          </w:p>
        </w:tc>
      </w:tr>
      <w:tr>
        <w:trPr/>
        <w:tc>
          <w:tcPr>
            <w:tcW w:w="162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559"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454"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展示任务运行情况：提供作业总览、集群信息、作业快照、异常信息、配置信息、数据地图、重新启动、智能停止等功能，支持SavePoint 触发、SavePoint 暂停、SavePoint停止、普通停止等操作。</w:t>
            </w:r>
            <w:r/>
          </w:p>
        </w:tc>
      </w:tr>
      <w:tr>
        <w:trPr/>
        <w:tc>
          <w:tcPr>
            <w:tcW w:w="162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559"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注册中心</w:t>
            </w:r>
            <w:r/>
          </w:p>
        </w:tc>
        <w:tc>
          <w:tcPr>
            <w:tcW w:w="5454"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支持注册和管理数据开发组件中各种资源和服务，包括集群管理、Jar管理、全局变量管理等功能。</w:t>
            </w:r>
            <w:r/>
          </w:p>
        </w:tc>
      </w:tr>
      <w:tr>
        <w:trPr/>
        <w:tc>
          <w:tcPr>
            <w:tcW w:w="162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559"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cs="宋体"/>
                <w:sz w:val="24"/>
                <w:szCs w:val="20"/>
              </w:rPr>
              <w:t xml:space="preserve">资源中心</w:t>
            </w:r>
            <w:r/>
          </w:p>
        </w:tc>
        <w:tc>
          <w:tcPr>
            <w:tcW w:w="5454"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提供文件管理、UDF管理、任务组管理等功能。</w:t>
            </w:r>
            <w:r/>
          </w:p>
        </w:tc>
      </w:tr>
      <w:tr>
        <w:trPr/>
        <w:tc>
          <w:tcPr>
            <w:tcW w:w="1627"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多租户服务</w:t>
            </w:r>
            <w:r/>
          </w:p>
        </w:tc>
        <w:tc>
          <w:tcPr>
            <w:tcW w:w="1559"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W w:w="545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支持多租户服务，面向市直部门及县区数据局提供免费能力复用。</w:t>
            </w:r>
            <w:r/>
          </w:p>
        </w:tc>
      </w:tr>
    </w:tbl>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（6）升级供需对接模块</w:t>
      </w:r>
      <w:r/>
    </w:p>
    <w:p>
      <w:pPr>
        <w:ind w:firstLine="482"/>
        <w:jc w:val="left"/>
        <w:spacing w:line="560" w:lineRule="exact"/>
        <w:widowControl/>
        <w:rPr>
          <w:rFonts w:hint="eastAsia" w:ascii="宋体" w:hAnsi="宋体" w:eastAsia="宋体" w:cs="宋体"/>
          <w:b/>
          <w:bCs/>
          <w:sz w:val="24"/>
          <w:szCs w:val="20"/>
        </w:rPr>
      </w:pPr>
      <w:r>
        <w:rPr>
          <w:rFonts w:hint="eastAsia" w:ascii="宋体" w:hAnsi="宋体" w:cs="宋体"/>
          <w:sz w:val="24"/>
          <w:szCs w:val="20"/>
        </w:rPr>
        <w:t xml:space="preserve">在原有供需对接模块数据需求管理、数据需求分析、数据需求确认、供需评估、共享责任清单等功能基础上，升级国省需求处理、市级需求上报模块。</w:t>
      </w:r>
      <w:r>
        <w:rPr>
          <w:rFonts w:hint="eastAsia" w:ascii="宋体" w:hAnsi="宋体" w:eastAsia="宋体" w:cs="宋体"/>
          <w:sz w:val="24"/>
          <w:szCs w:val="20"/>
        </w:rPr>
        <w:t xml:space="preserve">包括但不限于：</w:t>
      </w:r>
      <w:r/>
    </w:p>
    <w:tbl>
      <w:tblPr>
        <w:tblStyle w:val="7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7"/>
        <w:gridCol w:w="1645"/>
        <w:gridCol w:w="5518"/>
      </w:tblGrid>
      <w:tr>
        <w:trPr/>
        <w:tc>
          <w:tcPr>
            <w:tcW w:w="1467"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1645"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子功能模块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5518"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功能要求</w:t>
            </w:r>
            <w:r/>
          </w:p>
        </w:tc>
      </w:tr>
      <w:tr>
        <w:trPr/>
        <w:tc>
          <w:tcPr>
            <w:tcW w:w="1467" w:type="dxa"/>
            <w:vAlign w:val="center"/>
            <w:vMerge w:val="restart"/>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数据供需对接模块</w:t>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国省需求处理</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支持对国家或省级下发的数据需求进行处理，包括需求挂接和需求审核。</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市县需求上报</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支持对市县供需对接信息进行上报，上报省级平台，支持查看供需详情信息和审核进度信息。</w:t>
            </w:r>
            <w:r/>
          </w:p>
        </w:tc>
      </w:tr>
      <w:tr>
        <w:trPr/>
        <w:tc>
          <w:tcPr>
            <w:tcW w:w="1467"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流程变更</w:t>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w:t>
            </w:r>
            <w:r/>
          </w:p>
        </w:tc>
        <w:tc>
          <w:tcPr>
            <w:tcW w:w="5518"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支持市县两级按照管辖范围实现部门供需对接工作流转流程。</w:t>
            </w:r>
            <w:r/>
          </w:p>
        </w:tc>
      </w:tr>
    </w:tbl>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（7）新建异议处理模块</w:t>
      </w:r>
      <w:r/>
    </w:p>
    <w:p>
      <w:pPr>
        <w:ind w:firstLine="482"/>
        <w:jc w:val="left"/>
        <w:spacing w:line="560" w:lineRule="exact"/>
        <w:widowControl/>
        <w:rPr>
          <w:rFonts w:hint="eastAsia" w:ascii="宋体" w:hAnsi="宋体" w:eastAsia="宋体" w:cs="宋体"/>
          <w:b/>
          <w:bCs/>
          <w:sz w:val="24"/>
          <w:szCs w:val="20"/>
        </w:rPr>
      </w:pPr>
      <w:r>
        <w:rPr>
          <w:rFonts w:hint="eastAsia" w:ascii="宋体" w:hAnsi="宋体" w:eastAsia="宋体" w:cs="宋体"/>
          <w:sz w:val="24"/>
          <w:szCs w:val="20"/>
        </w:rPr>
        <w:t xml:space="preserve">新建异议处理模块，建立完善的数据异议处理机制，包括但不限于：</w:t>
      </w:r>
      <w:r/>
    </w:p>
    <w:tbl>
      <w:tblPr>
        <w:tblStyle w:val="7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7"/>
        <w:gridCol w:w="1645"/>
        <w:gridCol w:w="5518"/>
      </w:tblGrid>
      <w:tr>
        <w:trPr/>
        <w:tc>
          <w:tcPr>
            <w:tcW w:w="1467"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1645"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子功能模块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5518"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功能要求</w:t>
            </w:r>
            <w:r/>
          </w:p>
        </w:tc>
      </w:tr>
      <w:tr>
        <w:trPr/>
        <w:tc>
          <w:tcPr>
            <w:tcW w:w="1467" w:type="dxa"/>
            <w:vAlign w:val="center"/>
            <w:vMerge w:val="restart"/>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异议处理模块</w:t>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异议受理</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支持对本级用户提交的数据异议进行受理。</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异议提出</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支持用户提交数据异议。</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异议核查</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支持对本级用户提出的异议进行核查处理</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异议审查</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支持对异议处理结果进行审查</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异议上报</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支持向省级平台上报数据异议</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国省异议受理</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支持受理国家、省下发的数据异议</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国省异议核查</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支持国家、省下发的数据异常进行核查处理</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国省异议审查</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支持审查国家、省下发异议的处理结果</w:t>
            </w:r>
            <w:r/>
          </w:p>
        </w:tc>
      </w:tr>
    </w:tbl>
    <w:p>
      <w:pPr>
        <w:numPr>
          <w:ilvl w:val="0"/>
          <w:numId w:val="3"/>
        </w:num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新建主专题库管理模块</w:t>
      </w:r>
      <w:r/>
    </w:p>
    <w:p>
      <w:pPr>
        <w:ind w:firstLine="482"/>
        <w:jc w:val="left"/>
        <w:spacing w:line="560" w:lineRule="exact"/>
        <w:widowControl/>
        <w:rPr>
          <w:rFonts w:hint="eastAsia" w:ascii="宋体" w:hAnsi="宋体" w:eastAsia="宋体" w:cs="宋体"/>
          <w:b/>
          <w:bCs/>
          <w:sz w:val="24"/>
          <w:szCs w:val="20"/>
        </w:rPr>
      </w:pPr>
      <w:r>
        <w:rPr>
          <w:rFonts w:hint="eastAsia" w:ascii="宋体" w:hAnsi="宋体" w:eastAsia="宋体" w:cs="宋体"/>
          <w:sz w:val="24"/>
          <w:szCs w:val="20"/>
        </w:rPr>
        <w:t xml:space="preserve">新建主专题库管理模块，推动各主专题库规范化管理服务，包括但不限于：</w:t>
      </w:r>
      <w:r/>
    </w:p>
    <w:tbl>
      <w:tblPr>
        <w:tblStyle w:val="7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7"/>
        <w:gridCol w:w="1645"/>
        <w:gridCol w:w="5518"/>
      </w:tblGrid>
      <w:tr>
        <w:trPr/>
        <w:tc>
          <w:tcPr>
            <w:tcW w:w="1467"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1645"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子功能模块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5518"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功能要求</w:t>
            </w:r>
            <w:r/>
          </w:p>
        </w:tc>
      </w:tr>
      <w:tr>
        <w:trPr/>
        <w:tc>
          <w:tcPr>
            <w:tcW w:w="1467" w:type="dxa"/>
            <w:vAlign w:val="center"/>
            <w:vMerge w:val="restart"/>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主题库管理</w:t>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升级电子证照管理模块</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基于原有电子证照管理系统，对接市区块链平台，包括电子证照上链存证、电子证照可信核验、证照调用上链存证、证照调用可信溯源。</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restart"/>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新建一企一档服务模块</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提供综合检索服务，并展示全市企业数据统计情况、数据归集情况等系统首页内容。</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企业名录查询服务，以列表形式展示企业信息，支持按照国标行业、成立年限、机构类型、注册资本、机构状态、荣誉类型、注册地区等分类查询企业信息，支持查看企业详情，包括基本信息、生产经营、资本资产、纳税信息、监管信息、司法信息、荣誉信息、信用服务等。</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提供数据API服务、批量查询工具等数据服务。</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restart"/>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新建一人一档服务模块</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展示全市人口概览、数据归集情况等内容。</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提供人口信息按地区</w:t>
            </w:r>
            <w:r>
              <w:rPr>
                <w:rFonts w:hint="eastAsia" w:ascii="宋体" w:hAnsi="宋体" w:eastAsia="宋体" w:cs="宋体"/>
                <w:color w:val="000000"/>
                <w:szCs w:val="21"/>
                <w:lang w:val="en-US" w:eastAsia="zh-CN" w:bidi="ar"/>
              </w:rPr>
              <w:t xml:space="preserve">等</w:t>
            </w:r>
            <w:r>
              <w:rPr>
                <w:rFonts w:hint="eastAsia" w:ascii="宋体" w:hAnsi="宋体" w:eastAsia="宋体" w:cs="宋体"/>
                <w:color w:val="000000"/>
                <w:szCs w:val="21"/>
                <w:lang w:bidi="ar"/>
              </w:rPr>
              <w:t xml:space="preserve">维度的统计服务。</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提供数据API服务、批量查询工具等数据服务。</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restart"/>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新建一项目一档服务模块</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提供综合检索服务，展示全市项目数据统计情况、数据归集情况等内容。</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项目名录查询服务，以列表形式展示项目信息，支持按照项目类型、项目层级、所属行政区划、项目状态、立项年份等分类检索项目信息，支持查看项目详情，包括项目基本信息、立项信息、合同信息等信息。</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提供数据API服务、批量查询工具等数据服务。</w:t>
            </w:r>
            <w:r/>
          </w:p>
        </w:tc>
      </w:tr>
    </w:tbl>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（9）新建数据专区管理模块</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新建数据专区管理模块，面向各数据管理团队提供统一的工作环境，包括但不限于：</w:t>
      </w:r>
      <w:r/>
    </w:p>
    <w:tbl>
      <w:tblPr>
        <w:tblStyle w:val="7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7"/>
        <w:gridCol w:w="1645"/>
        <w:gridCol w:w="5518"/>
      </w:tblGrid>
      <w:tr>
        <w:trPr/>
        <w:tc>
          <w:tcPr>
            <w:tcW w:w="1467"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1645"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子功能模块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5518"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功能要求</w:t>
            </w:r>
            <w:r/>
          </w:p>
        </w:tc>
      </w:tr>
      <w:tr>
        <w:trPr/>
        <w:tc>
          <w:tcPr>
            <w:tcW w:w="1467" w:type="dxa"/>
            <w:vAlign w:val="center"/>
            <w:vMerge w:val="restart"/>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数据专区管理</w:t>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专区配置</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提供数据专区创建、展示专区列表、查看专区详情、配置专区信息、配置专区组件、进入专区、搜索专区等功能。</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组件配置</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w:t>
            </w:r>
            <w:r>
              <w:rPr>
                <w:rFonts w:hint="eastAsia" w:ascii="Times New Roman" w:hAnsi="Times New Roman" w:cs="Times New Roman"/>
              </w:rPr>
              <w:t xml:space="preserve">授权资源、回收资源</w:t>
            </w:r>
            <w:r>
              <w:rPr>
                <w:rFonts w:ascii="Times New Roman" w:hAnsi="Times New Roman" w:cs="Times New Roman"/>
              </w:rPr>
              <w:t xml:space="preserve">等</w:t>
            </w:r>
            <w:r>
              <w:rPr>
                <w:rFonts w:hint="eastAsia" w:ascii="Times New Roman" w:hAnsi="Times New Roman" w:cs="Times New Roman"/>
              </w:rPr>
              <w:t xml:space="preserve">功能</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角色管理</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Times New Roman" w:hAnsi="Times New Roman" w:cs="Times New Roman"/>
              </w:rPr>
              <w:t xml:space="preserve">提供专区定义角色、删除角色、编辑角色、关联专区成员、分配角色权限。</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成员管理</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Times New Roman" w:hAnsi="Times New Roman" w:cs="Times New Roman"/>
              </w:rPr>
              <w:t xml:space="preserve">提供专区添加成员、删除成员、编辑成员、设置成员角色、设置成员期限等功能。</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数据源管理</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包括新增数据源、删除数据源、编辑数据源、刷新数据源、初始化数据源、切换数据源展示视图、配置数据源详细信息、测试数据源连接、检索数据源等功能。</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个人中心</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提供我的专区、我的资产、我的权限、我的收藏、我的任务列表。</w:t>
            </w:r>
            <w:r/>
          </w:p>
        </w:tc>
      </w:tr>
    </w:tbl>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（10）新建数据微场景开发模块</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支持场景化查询、比对、核验等数据微场景在线可视化配置开发，包括但不限于：</w:t>
      </w:r>
      <w:r/>
    </w:p>
    <w:tbl>
      <w:tblPr>
        <w:tblStyle w:val="7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7"/>
        <w:gridCol w:w="1645"/>
        <w:gridCol w:w="5518"/>
      </w:tblGrid>
      <w:tr>
        <w:trPr/>
        <w:tc>
          <w:tcPr>
            <w:tcW w:w="1467"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1645"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子功能模块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5518"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功能要求</w:t>
            </w:r>
            <w:r/>
          </w:p>
        </w:tc>
      </w:tr>
      <w:tr>
        <w:trPr/>
        <w:tc>
          <w:tcPr>
            <w:tcW w:w="1467" w:type="dxa"/>
            <w:vAlign w:val="center"/>
            <w:vMerge w:val="restart"/>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数据微场景开发模块</w:t>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场景应用概览</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展示场景化应用总数、已发布应用数量、应用申请次数、今日使用量统计，提供应用快捷操作入口。</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应用管理</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支持将库表或接口快速配置为数据微应用场景，支持数据查询、数据比对、数据核验等类型数据微应用场景配置。包括新建场景、场景设计、历史版本、场景预览、场景删除、场景复制、场景发布等功能。</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restart"/>
            <w:textDirection w:val="lrTb"/>
            <w:noWrap w:val="false"/>
          </w:tcPr>
          <w:p>
            <w:pPr>
              <w:jc w:val="center"/>
              <w:spacing w:line="40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模版管理</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支持解析模版管理，支持库表和接口两种类型解析模版配置，支持配置数据来源部门，支持模版的新增、修改、删除、启用/停用、查看详情等操作。</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界面模版管理，提供数据查询、数据比对、数据核验等类型界面模版配置能力，支持界面模版标题颜色、描述颜色、banner图片设置、背景图片设置等配置，提供模版的新增、修改、删除、启用/停用、查看详情等操作。</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审核管理</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提供应用申请审批功能，支持查看申请详情和审核详情。</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restart"/>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应用授权</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支持查看我申请的应用，包括待办和已办两个列表。待办列表支持查看申请详情浏览申请信息和审核进度。已办列表支持查看申请详情和获取应用链接。</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提供我授权的应用列表，包括使用、详情、获取链接等操作。</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场景监控</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提供场景应用日志，支持按场景查询、按用户账号查询、按所属部门查询、按使用结果查询、按时间周期查询、高级组合搜索等查询，支持搜索条件重置、支持查看检验记录详情。</w:t>
            </w:r>
            <w:r/>
          </w:p>
        </w:tc>
      </w:tr>
    </w:tbl>
    <w:p>
      <w:pPr>
        <w:pStyle w:val="972"/>
        <w:ind w:left="420" w:firstLine="0"/>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（11）新建应用创新推广模块</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支撑本地区数据应用创新案例的收集整理，</w:t>
      </w:r>
      <w:bookmarkStart w:id="125" w:name="OLE_LINK8"/>
      <w:r>
        <w:rPr>
          <w:rFonts w:hint="eastAsia" w:ascii="宋体" w:hAnsi="宋体" w:eastAsia="宋体" w:cs="宋体"/>
          <w:sz w:val="24"/>
          <w:szCs w:val="20"/>
        </w:rPr>
        <w:t xml:space="preserve">包括但不限于：</w:t>
      </w:r>
      <w:bookmarkEnd w:id="125"/>
      <w:r/>
      <w:r/>
    </w:p>
    <w:tbl>
      <w:tblPr>
        <w:tblStyle w:val="7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8"/>
        <w:gridCol w:w="1644"/>
        <w:gridCol w:w="5518"/>
      </w:tblGrid>
      <w:tr>
        <w:trPr/>
        <w:tc>
          <w:tcPr>
            <w:tcW w:w="1468"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1644"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子功能模块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5518"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功能要求</w:t>
            </w:r>
            <w:r/>
          </w:p>
        </w:tc>
      </w:tr>
      <w:tr>
        <w:trPr/>
        <w:tc>
          <w:tcPr>
            <w:tcW w:w="1468" w:type="dxa"/>
            <w:vAlign w:val="center"/>
            <w:vMerge w:val="restart"/>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应用创新推广</w:t>
            </w:r>
            <w:r/>
          </w:p>
        </w:tc>
        <w:tc>
          <w:tcPr>
            <w:tcW w:w="1644"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案例提出</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w:t>
            </w:r>
            <w:r>
              <w:rPr>
                <w:rFonts w:hint="eastAsia"/>
              </w:rPr>
              <w:t xml:space="preserve">新增案例、编辑案例、删除案例、提交案例、撤销案例、查看案例详情等功能。</w:t>
            </w:r>
            <w:r/>
          </w:p>
        </w:tc>
      </w:tr>
      <w:tr>
        <w:trPr/>
        <w:tc>
          <w:tcPr>
            <w:tcW w:w="1468"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4"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案例审核</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w:t>
            </w:r>
            <w:r>
              <w:rPr>
                <w:rFonts w:hint="eastAsia" w:ascii="Times New Roman" w:hAnsi="Times New Roman" w:cs="Times New Roman"/>
              </w:rPr>
              <w:t xml:space="preserve">审核案例、查看案例审核详情、查看待审核列表、查看已审核列表等功能。</w:t>
            </w:r>
            <w:r/>
          </w:p>
        </w:tc>
      </w:tr>
      <w:tr>
        <w:trPr/>
        <w:tc>
          <w:tcPr>
            <w:tcW w:w="1468"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4" w:type="dxa"/>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案例发布</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Times New Roman" w:hAnsi="Times New Roman" w:cs="Times New Roman"/>
              </w:rPr>
              <w:t xml:space="preserve">提供上线案例、下线案例、分类查询已上线/已下线案例等功能。</w:t>
            </w:r>
            <w:r/>
          </w:p>
        </w:tc>
      </w:tr>
    </w:tbl>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（12）升级用户管理模块</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在原有用户管理模块组织机构管理、账号管理、权限管理、统一登录、统一消息等功能基础上升级租户管理、用户管理、权限管理、应用管理、用户中心等功能。</w:t>
      </w:r>
      <w:r>
        <w:rPr>
          <w:rFonts w:hint="eastAsia" w:ascii="宋体" w:hAnsi="宋体" w:eastAsia="宋体" w:cs="宋体"/>
          <w:sz w:val="24"/>
          <w:szCs w:val="20"/>
        </w:rPr>
        <w:t xml:space="preserve">包括但不限于：</w:t>
      </w:r>
      <w:r/>
    </w:p>
    <w:tbl>
      <w:tblPr>
        <w:tblStyle w:val="7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7"/>
        <w:gridCol w:w="1645"/>
        <w:gridCol w:w="5518"/>
      </w:tblGrid>
      <w:tr>
        <w:trPr/>
        <w:tc>
          <w:tcPr>
            <w:tcW w:w="1467"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1645"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子功能模块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5518"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功能要求</w:t>
            </w:r>
            <w:r/>
          </w:p>
        </w:tc>
      </w:tr>
      <w:tr>
        <w:trPr/>
        <w:tc>
          <w:tcPr>
            <w:tcW w:w="1467" w:type="dxa"/>
            <w:vAlign w:val="center"/>
            <w:vMerge w:val="restart"/>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用户管理模块</w:t>
            </w:r>
            <w:r/>
          </w:p>
        </w:tc>
        <w:tc>
          <w:tcPr>
            <w:tcW w:w="1645" w:type="dxa"/>
            <w:vAlign w:val="center"/>
            <w:textDirection w:val="lrTb"/>
            <w:noWrap w:val="false"/>
          </w:tcPr>
          <w:p>
            <w:pPr>
              <w:jc w:val="center"/>
              <w:spacing w:line="400" w:lineRule="exact"/>
              <w:widowControl/>
              <w:rPr>
                <w:rFonts w:ascii="Times New Roman" w:hAnsi="Times New Roman" w:cs="Times New Roman"/>
              </w:rPr>
            </w:pPr>
            <w:r>
              <w:rPr>
                <w:rFonts w:hint="eastAsia" w:ascii="Times New Roman" w:hAnsi="Times New Roman" w:cs="Times New Roman"/>
              </w:rPr>
              <w:t xml:space="preserve">租户管理</w:t>
            </w:r>
            <w:r/>
          </w:p>
        </w:tc>
        <w:tc>
          <w:tcPr>
            <w:tcW w:w="5518" w:type="dxa"/>
            <w:textDirection w:val="lrTb"/>
            <w:noWrap w:val="false"/>
          </w:tcPr>
          <w:p>
            <w:pPr>
              <w:jc w:val="left"/>
              <w:spacing w:line="400" w:lineRule="exact"/>
              <w:widowControl/>
              <w:rPr>
                <w:rFonts w:ascii="Times New Roman" w:hAnsi="Times New Roman" w:cs="Times New Roman"/>
              </w:rPr>
            </w:pPr>
            <w:r>
              <w:rPr>
                <w:rFonts w:hint="eastAsia" w:ascii="Times New Roman" w:hAnsi="Times New Roman" w:cs="Times New Roman"/>
              </w:rPr>
              <w:t xml:space="preserve">提供租户列表、创建租户、查询租户、配置租户、删除租户等功能。支持与原有公共数据平台功能模块对接，实现多租户改造。</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center"/>
              <w:spacing w:line="400" w:lineRule="exact"/>
              <w:widowControl/>
              <w:rPr>
                <w:rFonts w:ascii="Times New Roman" w:hAnsi="Times New Roman" w:cs="Times New Roman"/>
              </w:rPr>
            </w:pPr>
            <w:r>
              <w:rPr>
                <w:rFonts w:hint="eastAsia" w:ascii="Times New Roman" w:hAnsi="Times New Roman" w:cs="Times New Roman"/>
              </w:rPr>
              <w:t xml:space="preserve">用户管理</w:t>
            </w:r>
            <w:r/>
          </w:p>
        </w:tc>
        <w:tc>
          <w:tcPr>
            <w:tcW w:w="5518" w:type="dxa"/>
            <w:textDirection w:val="lrTb"/>
            <w:noWrap w:val="false"/>
          </w:tcPr>
          <w:p>
            <w:pPr>
              <w:jc w:val="left"/>
              <w:spacing w:line="400" w:lineRule="exact"/>
              <w:widowControl/>
              <w:rPr>
                <w:rFonts w:ascii="Times New Roman" w:hAnsi="Times New Roman" w:cs="Times New Roman"/>
              </w:rPr>
            </w:pPr>
            <w:r>
              <w:rPr>
                <w:rFonts w:hint="eastAsia" w:ascii="Times New Roman" w:hAnsi="Times New Roman" w:cs="Times New Roman"/>
              </w:rPr>
              <w:t xml:space="preserve">提供用户列表、创建用户、删除用户、锁定/解锁用户、用户授权、查询用户、修改用户等功能。</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restart"/>
            <w:textDirection w:val="lrTb"/>
            <w:noWrap w:val="false"/>
          </w:tcPr>
          <w:p>
            <w:pPr>
              <w:jc w:val="center"/>
              <w:spacing w:line="400" w:lineRule="exact"/>
              <w:widowControl/>
              <w:rPr>
                <w:rFonts w:ascii="Times New Roman" w:hAnsi="Times New Roman" w:cs="Times New Roman"/>
              </w:rPr>
            </w:pPr>
            <w:r>
              <w:rPr>
                <w:rFonts w:hint="eastAsia" w:ascii="Times New Roman" w:hAnsi="Times New Roman" w:cs="Times New Roman"/>
              </w:rPr>
              <w:t xml:space="preserve">权限管理</w:t>
            </w:r>
            <w:r/>
          </w:p>
        </w:tc>
        <w:tc>
          <w:tcPr>
            <w:tcW w:w="5518" w:type="dxa"/>
            <w:textDirection w:val="lrTb"/>
            <w:noWrap w:val="false"/>
          </w:tcPr>
          <w:p>
            <w:pPr>
              <w:jc w:val="left"/>
              <w:spacing w:line="400" w:lineRule="exact"/>
              <w:widowControl/>
              <w:rPr>
                <w:rFonts w:ascii="Times New Roman" w:hAnsi="Times New Roman" w:cs="Times New Roman"/>
              </w:rPr>
            </w:pPr>
            <w:r>
              <w:rPr>
                <w:rFonts w:hint="eastAsia" w:ascii="Times New Roman" w:hAnsi="Times New Roman" w:cs="Times New Roman"/>
              </w:rPr>
              <w:t xml:space="preserve">用户权限管理：用户权限页面展示某个</w:t>
            </w:r>
            <w:r>
              <w:rPr>
                <w:rFonts w:hint="eastAsia" w:ascii="Times New Roman" w:hAnsi="Times New Roman" w:cs="Times New Roman"/>
                <w:lang w:eastAsia="zh-CN"/>
              </w:rPr>
              <w:t xml:space="preserve">用户</w:t>
            </w:r>
            <w:r>
              <w:rPr>
                <w:rFonts w:hint="eastAsia" w:ascii="Times New Roman" w:hAnsi="Times New Roman" w:cs="Times New Roman"/>
              </w:rPr>
              <w:t xml:space="preserve">的权限，包括用户的角色下的权限和直接分配给用户的权限。包括用户分配权限，取消用户权限。</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continue"/>
            <w:textDirection w:val="lrTb"/>
            <w:noWrap w:val="false"/>
          </w:tcPr>
          <w:p>
            <w:pPr>
              <w:jc w:val="center"/>
              <w:spacing w:line="400" w:lineRule="exact"/>
              <w:widowControl/>
              <w:rPr>
                <w:rFonts w:ascii="Times New Roman" w:hAnsi="Times New Roman" w:cs="Times New Roman"/>
              </w:rPr>
            </w:pPr>
            <w:r>
              <w:rPr>
                <w:rFonts w:ascii="Times New Roman" w:hAnsi="Times New Roman" w:cs="Times New Roman"/>
              </w:rPr>
            </w:r>
            <w:r/>
          </w:p>
        </w:tc>
        <w:tc>
          <w:tcPr>
            <w:tcW w:w="5518" w:type="dxa"/>
            <w:textDirection w:val="lrTb"/>
            <w:noWrap w:val="false"/>
          </w:tcPr>
          <w:p>
            <w:pPr>
              <w:jc w:val="left"/>
              <w:spacing w:line="400" w:lineRule="exact"/>
              <w:widowControl/>
              <w:rPr>
                <w:rFonts w:ascii="Times New Roman" w:hAnsi="Times New Roman" w:cs="Times New Roman"/>
              </w:rPr>
            </w:pPr>
            <w:r>
              <w:rPr>
                <w:rFonts w:hint="eastAsia" w:ascii="Times New Roman" w:hAnsi="Times New Roman" w:cs="Times New Roman"/>
              </w:rPr>
              <w:t xml:space="preserve">角色权限管理：包括角色列表、新建角色、删除角色、修改角色、查询角色、角色授权等功能。</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center"/>
              <w:spacing w:line="400" w:lineRule="exact"/>
              <w:widowControl/>
              <w:rPr>
                <w:rFonts w:ascii="Times New Roman" w:hAnsi="Times New Roman" w:cs="Times New Roman"/>
              </w:rPr>
            </w:pPr>
            <w:r>
              <w:rPr>
                <w:rFonts w:hint="eastAsia" w:ascii="Times New Roman" w:hAnsi="Times New Roman" w:cs="Times New Roman"/>
              </w:rPr>
              <w:t xml:space="preserve">应用管理</w:t>
            </w:r>
            <w:r/>
          </w:p>
        </w:tc>
        <w:tc>
          <w:tcPr>
            <w:tcW w:w="5518" w:type="dxa"/>
            <w:textDirection w:val="lrTb"/>
            <w:noWrap w:val="false"/>
          </w:tcPr>
          <w:p>
            <w:pPr>
              <w:jc w:val="left"/>
              <w:spacing w:line="400" w:lineRule="exact"/>
              <w:widowControl/>
              <w:rPr>
                <w:rFonts w:ascii="Times New Roman" w:hAnsi="Times New Roman" w:cs="Times New Roman"/>
              </w:rPr>
            </w:pPr>
            <w:r>
              <w:rPr>
                <w:rFonts w:hint="eastAsia" w:ascii="Times New Roman" w:hAnsi="Times New Roman" w:cs="Times New Roman"/>
              </w:rPr>
              <w:t xml:space="preserve">提供应用列表、创建应用、删除应用、查询应用、授权应用、配置应用等功能。</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center"/>
              <w:spacing w:line="400" w:lineRule="exact"/>
              <w:widowControl/>
              <w:rPr>
                <w:rFonts w:ascii="Times New Roman" w:hAnsi="Times New Roman" w:cs="Times New Roman"/>
              </w:rPr>
            </w:pPr>
            <w:r>
              <w:rPr>
                <w:rFonts w:hint="eastAsia" w:ascii="Times New Roman" w:hAnsi="Times New Roman" w:cs="Times New Roman"/>
              </w:rPr>
              <w:t xml:space="preserve">用户中心</w:t>
            </w:r>
            <w:r/>
          </w:p>
        </w:tc>
        <w:tc>
          <w:tcPr>
            <w:tcW w:w="5518" w:type="dxa"/>
            <w:textDirection w:val="lrTb"/>
            <w:noWrap w:val="false"/>
          </w:tcPr>
          <w:p>
            <w:pPr>
              <w:jc w:val="left"/>
              <w:spacing w:line="400" w:lineRule="exact"/>
              <w:widowControl/>
              <w:rPr>
                <w:rFonts w:ascii="Times New Roman" w:hAnsi="Times New Roman" w:cs="Times New Roman"/>
              </w:rPr>
            </w:pPr>
            <w:r>
              <w:rPr>
                <w:rFonts w:hint="eastAsia" w:ascii="Times New Roman" w:hAnsi="Times New Roman" w:cs="Times New Roman"/>
              </w:rPr>
              <w:t xml:space="preserve">提供单点登录、查看个人中心、修改个人资料、修改个人密码、退出登录用户、导航菜单等功能。</w:t>
            </w:r>
            <w:r/>
          </w:p>
        </w:tc>
      </w:tr>
    </w:tbl>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（13）升级运行管理模块</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在原有运行管理模块业务监督、统计分析、系统运行监控、审计分析等功能基础上，升级运行监控概览、配置管理、平台监控、日志运维等功能。</w:t>
      </w:r>
      <w:r>
        <w:rPr>
          <w:rFonts w:hint="eastAsia" w:ascii="宋体" w:hAnsi="宋体" w:eastAsia="宋体" w:cs="宋体"/>
          <w:sz w:val="24"/>
          <w:szCs w:val="20"/>
        </w:rPr>
        <w:t xml:space="preserve">包括但不限于：</w:t>
      </w:r>
      <w:r/>
    </w:p>
    <w:tbl>
      <w:tblPr>
        <w:tblStyle w:val="7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7"/>
        <w:gridCol w:w="1645"/>
        <w:gridCol w:w="5518"/>
      </w:tblGrid>
      <w:tr>
        <w:trPr/>
        <w:tc>
          <w:tcPr>
            <w:tcW w:w="1467"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1645"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子功能模块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5518"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功能要求</w:t>
            </w:r>
            <w:r/>
          </w:p>
        </w:tc>
      </w:tr>
      <w:tr>
        <w:trPr/>
        <w:tc>
          <w:tcPr>
            <w:tcW w:w="1467" w:type="dxa"/>
            <w:vAlign w:val="center"/>
            <w:vMerge w:val="restart"/>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运行管理模块</w:t>
            </w:r>
            <w:r/>
          </w:p>
        </w:tc>
        <w:tc>
          <w:tcPr>
            <w:tcW w:w="1645" w:type="dxa"/>
            <w:vAlign w:val="center"/>
            <w:textDirection w:val="lrTb"/>
            <w:noWrap w:val="false"/>
          </w:tcPr>
          <w:p>
            <w:pPr>
              <w:jc w:val="center"/>
              <w:spacing w:line="400" w:lineRule="exact"/>
              <w:widowControl/>
              <w:rPr>
                <w:rFonts w:ascii="Times New Roman" w:hAnsi="Times New Roman" w:cs="Times New Roman"/>
              </w:rPr>
            </w:pPr>
            <w:r>
              <w:rPr>
                <w:rFonts w:hint="eastAsia" w:ascii="Times New Roman" w:hAnsi="Times New Roman" w:cs="Times New Roman"/>
              </w:rPr>
              <w:t xml:space="preserve">监控概览</w:t>
            </w:r>
            <w:r/>
          </w:p>
        </w:tc>
        <w:tc>
          <w:tcPr>
            <w:tcW w:w="5518" w:type="dxa"/>
            <w:textDirection w:val="lrTb"/>
            <w:noWrap w:val="false"/>
          </w:tcPr>
          <w:p>
            <w:pPr>
              <w:jc w:val="left"/>
              <w:spacing w:line="400" w:lineRule="exact"/>
              <w:widowControl/>
              <w:rPr>
                <w:rFonts w:ascii="Times New Roman" w:hAnsi="Times New Roman" w:cs="Times New Roman"/>
              </w:rPr>
            </w:pPr>
            <w:r>
              <w:rPr>
                <w:rFonts w:hint="eastAsia" w:ascii="Times New Roman" w:hAnsi="Times New Roman" w:cs="Times New Roman"/>
              </w:rPr>
              <w:t xml:space="preserve">展示包括资源总况、资源健康状态、告警信息、告警分析、服务器监控分析、数据源监控分析、节点监控分析、URL监控分析、近30天资源异常情况。</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restart"/>
            <w:textDirection w:val="lrTb"/>
            <w:noWrap w:val="false"/>
          </w:tcPr>
          <w:p>
            <w:pPr>
              <w:jc w:val="center"/>
              <w:spacing w:line="400" w:lineRule="exact"/>
              <w:widowControl/>
              <w:rPr>
                <w:rFonts w:ascii="Times New Roman" w:hAnsi="Times New Roman" w:cs="Times New Roman"/>
              </w:rPr>
            </w:pPr>
            <w:r>
              <w:rPr>
                <w:rFonts w:hint="eastAsia" w:ascii="Times New Roman" w:hAnsi="Times New Roman" w:cs="Times New Roman"/>
              </w:rPr>
              <w:t xml:space="preserve">配置管理</w:t>
            </w:r>
            <w:r/>
          </w:p>
        </w:tc>
        <w:tc>
          <w:tcPr>
            <w:tcW w:w="5518" w:type="dxa"/>
            <w:textDirection w:val="lrTb"/>
            <w:noWrap w:val="false"/>
          </w:tcPr>
          <w:p>
            <w:pPr>
              <w:jc w:val="left"/>
              <w:spacing w:line="400" w:lineRule="exact"/>
              <w:widowControl/>
              <w:rPr>
                <w:rFonts w:ascii="Times New Roman" w:hAnsi="Times New Roman" w:cs="Times New Roman"/>
              </w:rPr>
            </w:pPr>
            <w:r>
              <w:rPr>
                <w:rFonts w:hint="eastAsia"/>
              </w:rPr>
              <w:t xml:space="preserve">支持URL的新增、编辑、删除、查询、高级搜索等操作，支持URL监控间隔时长等属性进行配置管理。</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vMerge w:val="continue"/>
            <w:textDirection w:val="lrTb"/>
            <w:noWrap w:val="false"/>
          </w:tcPr>
          <w:p>
            <w:pPr>
              <w:jc w:val="center"/>
              <w:spacing w:line="400" w:lineRule="exact"/>
              <w:widowControl/>
              <w:rPr>
                <w:rFonts w:ascii="Times New Roman" w:hAnsi="Times New Roman" w:cs="Times New Roman"/>
              </w:rPr>
            </w:pPr>
            <w:r>
              <w:rPr>
                <w:rFonts w:ascii="Times New Roman" w:hAnsi="Times New Roman" w:cs="Times New Roman"/>
              </w:rPr>
            </w:r>
            <w:r/>
          </w:p>
        </w:tc>
        <w:tc>
          <w:tcPr>
            <w:tcW w:w="5518" w:type="dxa"/>
            <w:textDirection w:val="lrTb"/>
            <w:noWrap w:val="false"/>
          </w:tcPr>
          <w:p>
            <w:pPr>
              <w:jc w:val="left"/>
              <w:spacing w:line="400" w:lineRule="exact"/>
              <w:widowControl/>
              <w:rPr>
                <w:rFonts w:ascii="Times New Roman" w:hAnsi="Times New Roman" w:cs="Times New Roman"/>
              </w:rPr>
            </w:pPr>
            <w:r>
              <w:rPr>
                <w:rFonts w:hint="eastAsia"/>
              </w:rPr>
              <w:t xml:space="preserve">支持服务器信息的新增、编辑、删除、查询、高级搜索等操作，支持文件服务器、数据库服务器、应用服务器等类型服务器管理。</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center"/>
              <w:spacing w:line="400" w:lineRule="exact"/>
              <w:widowControl/>
              <w:rPr>
                <w:rFonts w:ascii="Times New Roman" w:hAnsi="Times New Roman" w:cs="Times New Roman"/>
              </w:rPr>
            </w:pPr>
            <w:r>
              <w:rPr>
                <w:rFonts w:hint="eastAsia" w:ascii="Times New Roman" w:hAnsi="Times New Roman" w:cs="Times New Roman"/>
              </w:rPr>
              <w:t xml:space="preserve">平台监控</w:t>
            </w:r>
            <w:r/>
          </w:p>
        </w:tc>
        <w:tc>
          <w:tcPr>
            <w:tcW w:w="5518" w:type="dxa"/>
            <w:textDirection w:val="lrTb"/>
            <w:noWrap w:val="false"/>
          </w:tcPr>
          <w:p>
            <w:pPr>
              <w:jc w:val="left"/>
              <w:spacing w:line="400" w:lineRule="exact"/>
              <w:widowControl/>
              <w:rPr>
                <w:rFonts w:ascii="Times New Roman" w:hAnsi="Times New Roman" w:cs="Times New Roman"/>
              </w:rPr>
            </w:pPr>
            <w:r>
              <w:rPr>
                <w:rFonts w:hint="eastAsia" w:ascii="Times New Roman" w:hAnsi="Times New Roman" w:cs="Times New Roman"/>
              </w:rPr>
              <w:t xml:space="preserve">展示URL监控、服务器监控、服务器拓扑图、数据源监控、节点监控、累计异常统计等内容。</w:t>
            </w:r>
            <w:r/>
          </w:p>
        </w:tc>
      </w:tr>
      <w:tr>
        <w:trPr/>
        <w:tc>
          <w:tcPr>
            <w:tcW w:w="1467" w:type="dxa"/>
            <w:vAlign w:val="center"/>
            <w:vMerge w:val="continue"/>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center"/>
              <w:spacing w:line="400" w:lineRule="exact"/>
              <w:widowControl/>
              <w:rPr>
                <w:rFonts w:ascii="Times New Roman" w:hAnsi="Times New Roman" w:cs="Times New Roman"/>
              </w:rPr>
            </w:pPr>
            <w:r>
              <w:rPr>
                <w:rFonts w:hint="eastAsia" w:ascii="Times New Roman" w:hAnsi="Times New Roman" w:cs="Times New Roman"/>
              </w:rPr>
              <w:t xml:space="preserve">日志运维</w:t>
            </w:r>
            <w:r/>
          </w:p>
        </w:tc>
        <w:tc>
          <w:tcPr>
            <w:tcW w:w="5518" w:type="dxa"/>
            <w:textDirection w:val="lrTb"/>
            <w:noWrap w:val="false"/>
          </w:tcPr>
          <w:p>
            <w:pPr>
              <w:jc w:val="left"/>
              <w:spacing w:line="400" w:lineRule="exact"/>
              <w:widowControl/>
              <w:rPr>
                <w:rFonts w:ascii="Times New Roman" w:hAnsi="Times New Roman" w:cs="Times New Roman"/>
              </w:rPr>
            </w:pPr>
            <w:r>
              <w:rPr>
                <w:rFonts w:hint="eastAsia" w:ascii="Times New Roman" w:hAnsi="Times New Roman" w:cs="Times New Roman"/>
              </w:rPr>
              <w:t xml:space="preserve">支持在线运维、操作日志实时查看。</w:t>
            </w:r>
            <w:r/>
          </w:p>
        </w:tc>
      </w:tr>
    </w:tbl>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（14）升级公共数据开放网站</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在原有公共数据开放网站基础上完成数据开放专区建设、适老化及无障碍改造、网站页面优化、用户访问统计等内容建设。</w:t>
      </w:r>
      <w:r>
        <w:rPr>
          <w:rFonts w:hint="eastAsia" w:ascii="宋体" w:hAnsi="宋体" w:eastAsia="宋体" w:cs="宋体"/>
          <w:sz w:val="24"/>
          <w:szCs w:val="20"/>
        </w:rPr>
        <w:t xml:space="preserve">包括但不限于：</w:t>
      </w:r>
      <w:r/>
    </w:p>
    <w:tbl>
      <w:tblPr>
        <w:tblStyle w:val="7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7"/>
        <w:gridCol w:w="1645"/>
        <w:gridCol w:w="5518"/>
      </w:tblGrid>
      <w:tr>
        <w:trPr/>
        <w:tc>
          <w:tcPr>
            <w:tcW w:w="1467"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1645"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子功能模块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5518"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功能要求</w:t>
            </w:r>
            <w:r/>
          </w:p>
        </w:tc>
      </w:tr>
      <w:tr>
        <w:trPr/>
        <w:tc>
          <w:tcPr>
            <w:tcW w:w="1467" w:type="dxa"/>
            <w:vAlign w:val="center"/>
            <w:vMerge w:val="restart"/>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公共数据开放网站</w:t>
            </w:r>
            <w:r/>
          </w:p>
        </w:tc>
        <w:tc>
          <w:tcPr>
            <w:tcW w:w="1645" w:type="dxa"/>
            <w:vAlign w:val="center"/>
            <w:textDirection w:val="lrTb"/>
            <w:noWrap w:val="false"/>
          </w:tcPr>
          <w:p>
            <w:pPr>
              <w:jc w:val="left"/>
              <w:spacing w:line="400" w:lineRule="exact"/>
              <w:widowControl/>
              <w:rPr>
                <w:rFonts w:ascii="Times New Roman" w:hAnsi="Times New Roman" w:cs="Times New Roman"/>
              </w:rPr>
            </w:pPr>
            <w:r>
              <w:rPr>
                <w:rFonts w:hint="eastAsia" w:ascii="Times New Roman" w:hAnsi="Times New Roman" w:cs="Times New Roman"/>
              </w:rPr>
              <w:t xml:space="preserve">数据开放专区</w:t>
            </w:r>
            <w:r/>
          </w:p>
        </w:tc>
        <w:tc>
          <w:tcPr>
            <w:tcW w:w="5518" w:type="dxa"/>
            <w:textDirection w:val="lrTb"/>
            <w:noWrap w:val="false"/>
          </w:tcPr>
          <w:p>
            <w:pPr>
              <w:jc w:val="left"/>
              <w:spacing w:line="400" w:lineRule="exact"/>
              <w:widowControl/>
              <w:rPr>
                <w:rFonts w:ascii="Times New Roman" w:hAnsi="Times New Roman" w:cs="Times New Roman"/>
              </w:rPr>
            </w:pPr>
            <w:r>
              <w:rPr>
                <w:rFonts w:hint="eastAsia" w:ascii="Times New Roman" w:hAnsi="Times New Roman" w:cs="Times New Roman"/>
              </w:rPr>
              <w:t xml:space="preserve">改造市级开放专区，新增县区开放专区。</w:t>
            </w:r>
            <w:r/>
          </w:p>
        </w:tc>
      </w:tr>
      <w:tr>
        <w:trPr/>
        <w:tc>
          <w:tcPr>
            <w:tcW w:w="1467" w:type="dxa"/>
            <w:vAlign w:val="center"/>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left"/>
              <w:spacing w:line="400" w:lineRule="exact"/>
              <w:widowControl/>
              <w:rPr>
                <w:rFonts w:ascii="Times New Roman" w:hAnsi="Times New Roman" w:cs="Times New Roman"/>
              </w:rPr>
            </w:pPr>
            <w:r>
              <w:rPr>
                <w:rFonts w:hint="eastAsia" w:ascii="Times New Roman" w:hAnsi="Times New Roman" w:cs="Times New Roman"/>
              </w:rPr>
              <w:t xml:space="preserve">适老化及无障碍改造</w:t>
            </w:r>
            <w:r/>
          </w:p>
        </w:tc>
        <w:tc>
          <w:tcPr>
            <w:tcW w:w="5518" w:type="dxa"/>
            <w:textDirection w:val="lrTb"/>
            <w:noWrap w:val="false"/>
          </w:tcPr>
          <w:p>
            <w:pPr>
              <w:jc w:val="left"/>
              <w:spacing w:line="400" w:lineRule="exact"/>
              <w:widowControl/>
              <w:rPr>
                <w:rFonts w:ascii="Times New Roman" w:hAnsi="Times New Roman" w:cs="Times New Roman"/>
              </w:rPr>
            </w:pPr>
            <w:r>
              <w:rPr>
                <w:rFonts w:hint="eastAsia"/>
              </w:rPr>
              <w:t xml:space="preserve">对开放网站进行适老化及无障碍改造，对接市政府网站适老化平台。</w:t>
            </w:r>
            <w:r/>
          </w:p>
        </w:tc>
      </w:tr>
      <w:tr>
        <w:trPr/>
        <w:tc>
          <w:tcPr>
            <w:tcW w:w="1467" w:type="dxa"/>
            <w:vAlign w:val="center"/>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left"/>
              <w:spacing w:line="400" w:lineRule="exact"/>
              <w:widowControl/>
              <w:rPr>
                <w:rFonts w:ascii="Times New Roman" w:hAnsi="Times New Roman" w:cs="Times New Roman"/>
              </w:rPr>
            </w:pPr>
            <w:r>
              <w:rPr>
                <w:rFonts w:hint="eastAsia" w:ascii="Times New Roman" w:hAnsi="Times New Roman" w:cs="Times New Roman"/>
              </w:rPr>
              <w:t xml:space="preserve">网站页面优化</w:t>
            </w:r>
            <w:r/>
          </w:p>
        </w:tc>
        <w:tc>
          <w:tcPr>
            <w:tcW w:w="5518" w:type="dxa"/>
            <w:textDirection w:val="lrTb"/>
            <w:noWrap w:val="false"/>
          </w:tcPr>
          <w:p>
            <w:pPr>
              <w:jc w:val="left"/>
              <w:spacing w:line="400" w:lineRule="exact"/>
              <w:widowControl/>
              <w:rPr>
                <w:rFonts w:ascii="Times New Roman" w:hAnsi="Times New Roman" w:cs="Times New Roman"/>
              </w:rPr>
            </w:pPr>
            <w:r>
              <w:rPr>
                <w:rFonts w:hint="eastAsia"/>
              </w:rPr>
              <w:t xml:space="preserve">对开放网站界面布局、显示风格等UI界面进行整体风格优化。</w:t>
            </w:r>
            <w:r/>
          </w:p>
        </w:tc>
      </w:tr>
      <w:tr>
        <w:trPr/>
        <w:tc>
          <w:tcPr>
            <w:tcW w:w="1467" w:type="dxa"/>
            <w:vAlign w:val="center"/>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left"/>
              <w:spacing w:line="400" w:lineRule="exact"/>
              <w:widowControl/>
              <w:rPr>
                <w:rFonts w:ascii="Times New Roman" w:hAnsi="Times New Roman" w:cs="Times New Roman"/>
              </w:rPr>
            </w:pPr>
            <w:r>
              <w:rPr>
                <w:rFonts w:hint="eastAsia" w:ascii="Times New Roman" w:hAnsi="Times New Roman" w:cs="Times New Roman"/>
              </w:rPr>
              <w:t xml:space="preserve">用户访问统计</w:t>
            </w:r>
            <w:r/>
          </w:p>
        </w:tc>
        <w:tc>
          <w:tcPr>
            <w:tcW w:w="5518" w:type="dxa"/>
            <w:textDirection w:val="lrTb"/>
            <w:noWrap w:val="false"/>
          </w:tcPr>
          <w:p>
            <w:pPr>
              <w:jc w:val="left"/>
              <w:spacing w:line="400" w:lineRule="exact"/>
              <w:widowControl/>
              <w:rPr>
                <w:rFonts w:ascii="Times New Roman" w:hAnsi="Times New Roman" w:cs="Times New Roman"/>
              </w:rPr>
            </w:pPr>
            <w:r>
              <w:rPr>
                <w:rFonts w:hint="eastAsia" w:ascii="Times New Roman" w:hAnsi="Times New Roman" w:cs="Times New Roman"/>
              </w:rPr>
              <w:t xml:space="preserve">对网站用户行为如用户</w:t>
            </w:r>
            <w:r>
              <w:rPr>
                <w:rFonts w:hint="eastAsia" w:ascii="Times New Roman" w:hAnsi="Times New Roman" w:cs="Times New Roman"/>
                <w:lang w:eastAsia="zh-CN"/>
              </w:rPr>
              <w:t xml:space="preserve">访问量</w:t>
            </w:r>
            <w:r>
              <w:rPr>
                <w:rFonts w:hint="eastAsia" w:ascii="Times New Roman" w:hAnsi="Times New Roman" w:cs="Times New Roman"/>
              </w:rPr>
              <w:t xml:space="preserve">、访问量、页面浏览量、下载量等重点行为进行数据统计。</w:t>
            </w:r>
            <w:r/>
          </w:p>
        </w:tc>
      </w:tr>
    </w:tbl>
    <w:p>
      <w:pPr>
        <w:ind w:firstLine="482"/>
        <w:jc w:val="left"/>
        <w:spacing w:line="560" w:lineRule="exact"/>
        <w:widowControl/>
        <w:rPr>
          <w:rFonts w:hint="eastAsia" w:ascii="宋体" w:hAnsi="宋体" w:cs="宋体"/>
          <w:b/>
          <w:bCs/>
          <w:sz w:val="24"/>
          <w:szCs w:val="20"/>
        </w:rPr>
        <w:outlineLvl w:val="5"/>
      </w:pPr>
      <w:r/>
      <w:bookmarkStart w:id="126" w:name="_Toc27099"/>
      <w:r/>
      <w:bookmarkStart w:id="127" w:name="_Toc21803"/>
      <w:r>
        <w:rPr>
          <w:rFonts w:hint="eastAsia" w:ascii="宋体" w:hAnsi="宋体" w:cs="宋体"/>
          <w:b/>
          <w:bCs/>
          <w:sz w:val="24"/>
          <w:szCs w:val="20"/>
        </w:rPr>
        <w:t xml:space="preserve">（15）与相关系统对接</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主要包括与市统一身份认证平台、市区块链平台、市公共数据授权运营平台、省新一代公共数据平台、省“苏政源”一体化数字资源服务门户</w:t>
      </w:r>
      <w:r>
        <w:rPr>
          <w:rFonts w:hint="eastAsia" w:ascii="宋体" w:hAnsi="宋体" w:cs="宋体"/>
          <w:sz w:val="24"/>
          <w:szCs w:val="20"/>
          <w:lang w:val="en-US" w:eastAsia="zh-CN"/>
        </w:rPr>
        <w:t xml:space="preserve">等</w:t>
      </w:r>
      <w:r>
        <w:rPr>
          <w:rFonts w:hint="eastAsia" w:ascii="宋体" w:hAnsi="宋体" w:cs="宋体"/>
          <w:sz w:val="24"/>
          <w:szCs w:val="20"/>
        </w:rPr>
        <w:t xml:space="preserve">对接。</w:t>
      </w:r>
      <w:r/>
    </w:p>
    <w:p>
      <w:pPr>
        <w:ind w:firstLine="482"/>
        <w:jc w:val="left"/>
        <w:spacing w:line="560" w:lineRule="exact"/>
        <w:widowControl/>
        <w:rPr>
          <w:rFonts w:hint="eastAsia" w:ascii="宋体" w:hAnsi="宋体" w:cs="宋体"/>
          <w:b/>
          <w:bCs/>
          <w:sz w:val="24"/>
          <w:szCs w:val="20"/>
        </w:rPr>
        <w:outlineLvl w:val="4"/>
      </w:pPr>
      <w:r>
        <w:rPr>
          <w:rFonts w:hint="eastAsia" w:ascii="宋体" w:hAnsi="宋体" w:cs="宋体"/>
          <w:b/>
          <w:bCs/>
          <w:sz w:val="24"/>
          <w:szCs w:val="20"/>
        </w:rPr>
        <w:t xml:space="preserve">3.系统国产化改造</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本项目须依托国产化软硬件平台部署，投标人需完成原有系统及新建系统适配工作，同步完成现有历史数据迁移工作。原有系统清单如下：</w:t>
      </w:r>
      <w:r/>
    </w:p>
    <w:tbl>
      <w:tblPr>
        <w:tblStyle w:val="77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1298"/>
        <w:gridCol w:w="6756"/>
      </w:tblGrid>
      <w:tr>
        <w:trPr/>
        <w:tc>
          <w:tcPr>
            <w:tcBorders>
              <w:top w:val="single" w:color="000000" w:sz="4" w:space="0"/>
              <w:left w:val="single" w:color="000000" w:sz="4" w:space="0"/>
              <w:bottom w:val="single" w:color="000000" w:sz="4" w:space="0"/>
              <w:right w:val="single" w:color="000000" w:sz="4" w:space="0"/>
            </w:tcBorders>
            <w:tcW w:w="453" w:type="pct"/>
            <w:textDirection w:val="lrTb"/>
            <w:noWrap w:val="false"/>
          </w:tcPr>
          <w:p>
            <w:pPr>
              <w:jc w:val="center"/>
              <w:widowControl/>
              <w:rPr>
                <w:b/>
                <w:bCs/>
              </w:rPr>
            </w:pPr>
            <w:r>
              <w:rPr>
                <w:rFonts w:hint="eastAsia"/>
                <w:b/>
                <w:bCs/>
              </w:rPr>
              <w:t xml:space="preserve">序号</w:t>
            </w:r>
            <w:r/>
          </w:p>
        </w:tc>
        <w:tc>
          <w:tcPr>
            <w:tcBorders>
              <w:top w:val="single" w:color="000000" w:sz="4" w:space="0"/>
              <w:left w:val="single" w:color="000000" w:sz="4" w:space="0"/>
              <w:bottom w:val="single" w:color="000000" w:sz="4" w:space="0"/>
              <w:right w:val="single" w:color="000000" w:sz="4" w:space="0"/>
            </w:tcBorders>
            <w:tcW w:w="733" w:type="pct"/>
            <w:textDirection w:val="lrTb"/>
            <w:noWrap w:val="false"/>
          </w:tcPr>
          <w:p>
            <w:pPr>
              <w:jc w:val="left"/>
              <w:widowControl/>
              <w:rPr>
                <w:b/>
                <w:bCs/>
              </w:rPr>
            </w:pPr>
            <w:r>
              <w:rPr>
                <w:rFonts w:hint="eastAsia"/>
                <w:b/>
                <w:bCs/>
              </w:rPr>
              <w:t xml:space="preserve">系统名称</w:t>
            </w:r>
            <w:r/>
          </w:p>
        </w:tc>
        <w:tc>
          <w:tcPr>
            <w:tcBorders>
              <w:top w:val="single" w:color="000000" w:sz="4" w:space="0"/>
              <w:left w:val="single" w:color="000000" w:sz="4" w:space="0"/>
              <w:bottom w:val="single" w:color="000000" w:sz="4" w:space="0"/>
              <w:right w:val="single" w:color="000000" w:sz="4" w:space="0"/>
            </w:tcBorders>
            <w:tcW w:w="3814" w:type="pct"/>
            <w:textDirection w:val="lrTb"/>
            <w:noWrap w:val="false"/>
          </w:tcPr>
          <w:p>
            <w:pPr>
              <w:jc w:val="left"/>
              <w:widowControl/>
              <w:rPr>
                <w:b/>
                <w:bCs/>
              </w:rPr>
            </w:pPr>
            <w:r>
              <w:rPr>
                <w:rFonts w:hint="eastAsia"/>
                <w:b/>
                <w:bCs/>
              </w:rPr>
              <w:t xml:space="preserve">系统功能描述</w:t>
            </w:r>
            <w:r/>
          </w:p>
        </w:tc>
      </w:tr>
      <w:tr>
        <w:trPr>
          <w:trHeight w:val="312"/>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目录管理系统</w:t>
            </w:r>
            <w:r/>
          </w:p>
        </w:tc>
        <w:tc>
          <w:tcPr>
            <w:tcBorders>
              <w:top w:val="single" w:color="000000" w:sz="4" w:space="0"/>
              <w:left w:val="single" w:color="000000" w:sz="4" w:space="0"/>
              <w:bottom w:val="single" w:color="000000" w:sz="4" w:space="0"/>
              <w:right w:val="single" w:color="000000" w:sz="4" w:space="0"/>
            </w:tcBorders>
            <w:tcW w:w="3814" w:type="pct"/>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主要包括目录分类、目录编目、编目编审、审核发布、目录发布</w:t>
            </w:r>
            <w:r>
              <w:rPr>
                <w:rFonts w:hint="eastAsia" w:ascii="宋体" w:hAnsi="宋体" w:eastAsia="宋体" w:cs="宋体"/>
                <w:color w:val="000000"/>
                <w:szCs w:val="21"/>
                <w:lang w:eastAsia="zh-CN" w:bidi="ar"/>
              </w:rPr>
              <w:t xml:space="preserve">，以及</w:t>
            </w:r>
            <w:r>
              <w:rPr>
                <w:rFonts w:hint="eastAsia" w:ascii="宋体" w:hAnsi="宋体" w:eastAsia="宋体" w:cs="宋体"/>
                <w:color w:val="000000"/>
                <w:szCs w:val="21"/>
                <w:lang w:bidi="ar"/>
              </w:rPr>
              <w:t xml:space="preserve">资源注册、资源管理、资源检索等功能。</w:t>
            </w:r>
            <w:r/>
          </w:p>
        </w:tc>
      </w:tr>
      <w:tr>
        <w:trPr>
          <w:trHeight w:val="312"/>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数据交换系统</w:t>
            </w:r>
            <w:r/>
          </w:p>
        </w:tc>
        <w:tc>
          <w:tcPr>
            <w:tcBorders>
              <w:top w:val="single" w:color="000000" w:sz="4" w:space="0"/>
              <w:left w:val="single" w:color="000000" w:sz="4" w:space="0"/>
              <w:bottom w:val="single" w:color="000000" w:sz="4" w:space="0"/>
              <w:right w:val="single" w:color="000000" w:sz="4" w:space="0"/>
            </w:tcBorders>
            <w:tcW w:w="3814" w:type="pct"/>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主要包括交换概览、交换引擎、配置管理、任务管理、交换监控、交换统计等功能。</w:t>
            </w:r>
            <w:r/>
          </w:p>
        </w:tc>
      </w:tr>
      <w:tr>
        <w:trPr>
          <w:trHeight w:val="312"/>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数据供需对接系统</w:t>
            </w:r>
            <w:r/>
          </w:p>
        </w:tc>
        <w:tc>
          <w:tcPr>
            <w:tcBorders>
              <w:top w:val="single" w:color="000000" w:sz="4" w:space="0"/>
              <w:left w:val="single" w:color="000000" w:sz="4" w:space="0"/>
              <w:bottom w:val="single" w:color="000000" w:sz="4" w:space="0"/>
              <w:right w:val="single" w:color="000000" w:sz="4" w:space="0"/>
            </w:tcBorders>
            <w:tcW w:w="3814" w:type="pct"/>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主要包括数据需求管理、数据需求分析、数据需求确认、供需评估、共享责任清单等功能。</w:t>
            </w:r>
            <w:r/>
          </w:p>
        </w:tc>
      </w:tr>
      <w:tr>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数据集成系统</w:t>
            </w:r>
            <w:r/>
          </w:p>
        </w:tc>
        <w:tc>
          <w:tcPr>
            <w:tcBorders>
              <w:top w:val="single" w:color="000000" w:sz="4" w:space="0"/>
              <w:left w:val="single" w:color="000000" w:sz="4" w:space="0"/>
              <w:bottom w:val="single" w:color="000000" w:sz="4" w:space="0"/>
              <w:right w:val="single" w:color="000000" w:sz="4" w:space="0"/>
            </w:tcBorders>
            <w:tcW w:w="3814" w:type="pct"/>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主要包括概览、任务分类、库表采集、接口采集、整库迁移、文件采集、任务监控等功能。</w:t>
            </w:r>
            <w:r/>
          </w:p>
        </w:tc>
      </w:tr>
      <w:tr>
        <w:trPr>
          <w:trHeight w:val="312"/>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数据治理系统</w:t>
            </w:r>
            <w:r/>
          </w:p>
        </w:tc>
        <w:tc>
          <w:tcPr>
            <w:tcBorders>
              <w:top w:val="single" w:color="000000" w:sz="4" w:space="0"/>
              <w:left w:val="single" w:color="000000" w:sz="4" w:space="0"/>
              <w:bottom w:val="single" w:color="000000" w:sz="4" w:space="0"/>
              <w:right w:val="single" w:color="000000" w:sz="4" w:space="0"/>
            </w:tcBorders>
            <w:tcW w:w="3814" w:type="pct"/>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主要包括标准管理、质量管理、数据建模、元数据管理、数据资产管理等模块</w:t>
            </w:r>
            <w:r/>
          </w:p>
        </w:tc>
      </w:tr>
      <w:tr>
        <w:trPr>
          <w:trHeight w:val="312"/>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数据融合服务系统</w:t>
            </w:r>
            <w:r/>
          </w:p>
        </w:tc>
        <w:tc>
          <w:tcPr>
            <w:tcBorders>
              <w:top w:val="single" w:color="000000" w:sz="4" w:space="0"/>
              <w:left w:val="single" w:color="000000" w:sz="4" w:space="0"/>
              <w:bottom w:val="single" w:color="000000" w:sz="4" w:space="0"/>
              <w:right w:val="single" w:color="000000" w:sz="4" w:space="0"/>
            </w:tcBorders>
            <w:tcW w:w="3814" w:type="pct"/>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主要包括服务注册、组件管理、服务巡检、服务监控、应用管理、系统运维、统计分析、服务路由、系统管理等功能。</w:t>
            </w:r>
            <w:r/>
          </w:p>
        </w:tc>
      </w:tr>
      <w:tr>
        <w:trPr>
          <w:trHeight w:val="312"/>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公共数据开放网站</w:t>
            </w:r>
            <w:r/>
          </w:p>
        </w:tc>
        <w:tc>
          <w:tcPr>
            <w:tcBorders>
              <w:top w:val="single" w:color="000000" w:sz="4" w:space="0"/>
              <w:left w:val="single" w:color="000000" w:sz="4" w:space="0"/>
              <w:bottom w:val="single" w:color="000000" w:sz="4" w:space="0"/>
              <w:right w:val="single" w:color="000000" w:sz="4" w:space="0"/>
            </w:tcBorders>
            <w:tcW w:w="3814" w:type="pct"/>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主要包括首页、开放目录、接口服务、数据应用、地图服务、开放统计、用户须知、登录注册等功能。</w:t>
            </w:r>
            <w:r/>
          </w:p>
        </w:tc>
      </w:tr>
      <w:tr>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运行管理系统</w:t>
            </w:r>
            <w:r/>
          </w:p>
        </w:tc>
        <w:tc>
          <w:tcPr>
            <w:tcBorders>
              <w:top w:val="single" w:color="000000" w:sz="4" w:space="0"/>
              <w:left w:val="single" w:color="000000" w:sz="4" w:space="0"/>
              <w:bottom w:val="single" w:color="000000" w:sz="4" w:space="0"/>
              <w:right w:val="single" w:color="000000" w:sz="4" w:space="0"/>
            </w:tcBorders>
            <w:tcW w:w="3814" w:type="pct"/>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主要包括业务监督、统计分析、系统运行监控、审计分析等功能。</w:t>
            </w:r>
            <w:r/>
          </w:p>
        </w:tc>
      </w:tr>
      <w:tr>
        <w:trPr/>
        <w:tc>
          <w:tcPr>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733" w:type="pct"/>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用户管理系统</w:t>
            </w:r>
            <w:r/>
          </w:p>
        </w:tc>
        <w:tc>
          <w:tcPr>
            <w:tcBorders>
              <w:top w:val="single" w:color="000000" w:sz="4" w:space="0"/>
              <w:left w:val="single" w:color="000000" w:sz="4" w:space="0"/>
              <w:bottom w:val="single" w:color="000000" w:sz="4" w:space="0"/>
              <w:right w:val="single" w:color="000000" w:sz="4" w:space="0"/>
            </w:tcBorders>
            <w:tcW w:w="3814" w:type="pct"/>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主要包括组织机构管理、账号管理、权限管理、统一登录、统一消息等功能。</w:t>
            </w:r>
            <w:r/>
          </w:p>
        </w:tc>
      </w:tr>
    </w:tbl>
    <w:p>
      <w:pPr>
        <w:ind w:firstLine="482"/>
        <w:jc w:val="left"/>
        <w:spacing w:line="560" w:lineRule="exact"/>
        <w:widowControl/>
        <w:rPr>
          <w:rFonts w:hint="eastAsia" w:ascii="宋体" w:hAnsi="宋体" w:cs="宋体"/>
          <w:b/>
          <w:bCs/>
          <w:sz w:val="24"/>
          <w:szCs w:val="20"/>
        </w:rPr>
        <w:outlineLvl w:val="4"/>
      </w:pPr>
      <w:r>
        <w:rPr>
          <w:rFonts w:hint="eastAsia" w:ascii="宋体" w:hAnsi="宋体" w:cs="宋体"/>
          <w:b/>
          <w:bCs/>
          <w:sz w:val="24"/>
          <w:szCs w:val="20"/>
        </w:rPr>
        <w:t xml:space="preserve">4.数据清查治理服务</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服务期内推动数据目录治理和已有部门原始库、中心标准库、基础库、主专题库和高使用价值数据常态化治理，并按需推动不少于10个主、专题库建设，确保数据库数据按时更新、规范治理，符合国家、省市相关标准，满足数据使用需求。通过数据质量管理等手段，及时发现异常数据，指导数据提供部门及时整改异常数据，确保异常数据闭环化管理。</w:t>
      </w:r>
      <w:r/>
    </w:p>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（1）清查治理服务</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完成全市公共数据资源清查工作，对各部门各单位在履职过程中建设、运维和使用的政务信息系统（不含涉密信息系统）情况，以及系统自身所包含的文字、数字、视频、电子证照、物联网、空间地理等各类数据资源情况，形成盐城市信息系统清单、数据资源清单。</w:t>
      </w:r>
      <w:r/>
    </w:p>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（2）数据目录治理服务</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服务期内按照要求，规范开展数据目录治理工作，包括完成全市数据目录规范性检查整改、目录治理实施。</w:t>
      </w:r>
      <w:r/>
    </w:p>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（3）原始库治理</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接收各部门推送过来的全量原始数据，存储在部门原始库，并开展常态化持续接收数据，保证入库数据为“增量”数据，同时对数据进行数据质量稽核，并对异议数据反馈至所属部门核实处理。提供数据建模、数据抽取、数据去重、数据质量稽核、异议数据处理、数据资产管理等服务。</w:t>
      </w:r>
      <w:r/>
    </w:p>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（4）中心标准库治理</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对部门原始库接收的数据，根据《政务大数据数据元规范DB32/T 4040-2021》和部门数据治理规范进行数据处理，制定和配置一批数据稽核规则，对数据稽核、清洗、转换，形成符合政务大数据数据元标准的数据，存储在中心标准库，为基础库、主专题库建立提供数据基础。提供标准梳理、数据建模、数据抽取、数据清洗和数据转换、数据质量稽核、异常数据处理、数据资产管理等服务。</w:t>
      </w:r>
      <w:r/>
    </w:p>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（5）基础库治理</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1）人口库治理：对照省级人口库标准数据元治理标准，按照省市共建基础库的要求，提供人口库数据模型优化、融合治理、质量稽核、数据服务、异议处理、常态化更新等服务。</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2）法人库治理：对照省级法人库标准数据元治理标准，按照省市共建基础库的要求，提供法人库数据模型优化、融合治理、质量稽核、数据服务、异议处理、常态化更新等服务。</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3）信用库治理：对照省级信用库标准数据元治理标准，按照省市共建基础库的要求，提供信用库数据模型优化、通道整合、融合治理、质量稽核、数据服务、异议处理、常态化更新等服务。</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4）电子证照库治理：对照省级电子证照库标准数据元治理标准，提供证照核心数据元梳理、证照数据模型优化、证照数据质量稽核、电子证照服务拓展、电子证照异议数据处理、电子证照数据常态化更新等服务。</w:t>
      </w:r>
      <w:r/>
    </w:p>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（6）主专题库建设</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建设期根据市数据局、大数据管理中心及市各部门业务场景需求，按需推动主专题库建设，建设一企一档、一人一档、一项目一档、数字资源“一本账”等4个主专题库；运维期按照大数据管理中心实际规划提供不少于6个主专题库建设服务，提供需求梳理、数据探查、标准梳理、主专题库数据建模、数据集成、数据质量管理、元数据管理等服务。</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一企一档主题库：以法人统一社会信用代码为唯一标识，构建法人档案画像，进一步扩充数据项，包含但不限于以下信息：法人基本信息、法定代表人信息、股东信息、投资方信息、证照信息、信用信息、资产信息、员工信息、位置信息、经营活动信息、纳税信息等，形成一企一档主题库。</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2）一人一档主题库：以身份证号为唯一标识，构建个人档案画像，包含但不限于：自然人的基本信息、证照信息、信用信息、工作信息、学习信息、健康信息、资产信息等，形成一人一档主题库。</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3）一项目一档主题库：建立全市各类项目档案库，形成一项目一档主题库，包括但不限于项目基本信息、立项信息、合同信息、实施进度信息、投资信息等信息。</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4）“一本账”主题库：以项目、系统、事项、基础设施、数据、标准规范、风险防控、运行保障等不同清单数据场景进行划分，构建“一本账”主题库模型，归集“一本账”清单数据、指标数据，形成“一本账”主题库。</w:t>
      </w:r>
      <w:r/>
    </w:p>
    <w:p>
      <w:pPr>
        <w:ind w:firstLine="482"/>
        <w:jc w:val="left"/>
        <w:spacing w:line="56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5.数据微场景开发服务</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常态化征集全市各级各部门应用场景建设需求，根据</w:t>
      </w:r>
      <w:r>
        <w:rPr>
          <w:rFonts w:hint="eastAsia" w:ascii="宋体" w:hAnsi="宋体" w:cs="宋体"/>
          <w:sz w:val="24"/>
          <w:szCs w:val="20"/>
          <w:lang w:eastAsia="zh-CN"/>
        </w:rPr>
        <w:t xml:space="preserve">采购人</w:t>
      </w:r>
      <w:r>
        <w:rPr>
          <w:rFonts w:hint="eastAsia" w:ascii="宋体" w:hAnsi="宋体" w:cs="宋体"/>
          <w:sz w:val="24"/>
          <w:szCs w:val="20"/>
        </w:rPr>
        <w:t xml:space="preserve">要求，合理安排开发计划，提供数据微场景开发服务，提供场景需求征集梳理、场景数据规划准备、场景数据治理、场景数据开发、场景数据服务封装等服务</w:t>
      </w:r>
      <w:r>
        <w:rPr>
          <w:rFonts w:hint="eastAsia" w:ascii="宋体" w:hAnsi="宋体" w:cs="宋体"/>
          <w:sz w:val="24"/>
          <w:szCs w:val="20"/>
          <w:lang w:eastAsia="zh-CN"/>
        </w:rPr>
        <w:t xml:space="preserve">，在</w:t>
      </w:r>
      <w:r>
        <w:rPr>
          <w:rFonts w:hint="eastAsia" w:ascii="宋体" w:hAnsi="宋体" w:cs="宋体"/>
          <w:sz w:val="24"/>
          <w:szCs w:val="20"/>
        </w:rPr>
        <w:t xml:space="preserve">建设期内新建不少于10个数据微场景，运维期提供常态化场景开发运营服务。</w:t>
      </w:r>
      <w:r/>
    </w:p>
    <w:p>
      <w:pPr>
        <w:ind w:firstLine="482"/>
        <w:jc w:val="left"/>
        <w:spacing w:line="560" w:lineRule="exact"/>
        <w:widowControl/>
        <w:rPr>
          <w:rFonts w:hint="eastAsia" w:ascii="宋体" w:hAnsi="宋体" w:cs="宋体"/>
          <w:b/>
          <w:bCs/>
          <w:sz w:val="24"/>
          <w:szCs w:val="20"/>
        </w:rPr>
        <w:outlineLvl w:val="4"/>
      </w:pPr>
      <w:r>
        <w:rPr>
          <w:rFonts w:hint="eastAsia" w:ascii="宋体" w:hAnsi="宋体" w:cs="宋体"/>
          <w:b/>
          <w:bCs/>
          <w:sz w:val="24"/>
          <w:szCs w:val="20"/>
        </w:rPr>
        <w:t xml:space="preserve">6.综合治税共享交换通道迁移</w:t>
      </w:r>
      <w:r/>
    </w:p>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（1）清单采集工具</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基于涉税数据采集需求，新建清单采集工具，为数据采集填报工作减负增效。主要包括智能工作台、智能采数、数据台账、表格目录、任务中心、填表报数、数据建模、系统管理、工具箱等模块。</w:t>
      </w:r>
      <w:r>
        <w:rPr>
          <w:rFonts w:hint="eastAsia" w:ascii="宋体" w:hAnsi="宋体" w:eastAsia="宋体" w:cs="宋体"/>
          <w:sz w:val="24"/>
          <w:szCs w:val="20"/>
        </w:rPr>
        <w:t xml:space="preserve">包括但不限于：</w:t>
      </w:r>
      <w:r/>
    </w:p>
    <w:tbl>
      <w:tblPr>
        <w:tblStyle w:val="7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4"/>
        <w:gridCol w:w="1642"/>
        <w:gridCol w:w="5524"/>
      </w:tblGrid>
      <w:tr>
        <w:trPr/>
        <w:tc>
          <w:tcPr>
            <w:tcW w:w="1464"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1642"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子功能模块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5524"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功能要求</w:t>
            </w:r>
            <w:r/>
          </w:p>
        </w:tc>
      </w:tr>
      <w:tr>
        <w:trPr/>
        <w:tc>
          <w:tcPr>
            <w:tcW w:w="1464" w:type="dxa"/>
            <w:vAlign w:val="center"/>
            <w:vMerge w:val="restart"/>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智能工作台</w:t>
            </w:r>
            <w:r/>
          </w:p>
        </w:tc>
        <w:tc>
          <w:tcPr>
            <w:tcW w:w="1642" w:type="dxa"/>
            <w:vAlign w:val="center"/>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任务下发情况</w:t>
            </w:r>
            <w:r/>
          </w:p>
        </w:tc>
        <w:tc>
          <w:tcPr>
            <w:tcW w:w="5524"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展示任务下发情况，包括任务概览、近期任务、表格使用情况、任务下放情况等。</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数据填报情况</w:t>
            </w:r>
            <w:r/>
          </w:p>
        </w:tc>
        <w:tc>
          <w:tcPr>
            <w:tcW w:w="5524"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展示数据填报情况，包括填报概览、近期填报任务、部门表格填报完成情况、填报任务分布情况等。</w:t>
            </w:r>
            <w:r/>
          </w:p>
        </w:tc>
      </w:tr>
      <w:tr>
        <w:trPr/>
        <w:tc>
          <w:tcPr>
            <w:tcW w:w="1464" w:type="dxa"/>
            <w:vAlign w:val="center"/>
            <w:vMerge w:val="restart"/>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智能采数</w:t>
            </w:r>
            <w:r/>
          </w:p>
        </w:tc>
        <w:tc>
          <w:tcPr>
            <w:tcW w:w="1642" w:type="dxa"/>
            <w:vAlign w:val="center"/>
            <w:vMerge w:val="restart"/>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数据录入</w:t>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支持按标签页分页展示填报任务。</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支持数据填报、批量导入、提交等功能，包括填报信息的基本信息、标签信息、类型信息等信息填报。</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提供编辑、删除、详情等功能，支持查看对数据的操作记录。</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vMerge w:val="restart"/>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数据审核</w:t>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展示标签页分页列表，包括标签页分页展示待审核、已审核数据列表等。</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支持审核操作、查看审核记录、查看详情。支持查看审核记录详情。</w:t>
            </w:r>
            <w:r/>
          </w:p>
        </w:tc>
      </w:tr>
      <w:tr>
        <w:trPr/>
        <w:tc>
          <w:tcPr>
            <w:tcW w:w="1464" w:type="dxa"/>
            <w:vAlign w:val="center"/>
            <w:vMerge w:val="restart"/>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数据台账</w:t>
            </w:r>
            <w:r/>
          </w:p>
        </w:tc>
        <w:tc>
          <w:tcPr>
            <w:tcW w:w="1642" w:type="dxa"/>
            <w:vAlign w:val="center"/>
            <w:vMerge w:val="restart"/>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基础台账</w:t>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支持新建基础台账，维护台账基本信息、台账内容自定义信息、添加数据过滤条件、添加数据排序规则、添加查询标签、添加分页等信息，支持预览台账。</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支持查看基础台账详情。</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支持导入基础台账数据。</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支持为基础台账数据打标签。</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支持添加台账分组。</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vMerge w:val="restart"/>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自定义台账</w:t>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支持新建自定义台账，维护自定义台账基本信息、台账内容信息、添加数据过滤条件、添加数据排序规则、添加查询标签、添加分页等信息，支持预览台账。</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支持查看自定义台账详情。</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支持导入自定义台账数据。</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支持为自定义台账数据打标签。</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支持添加自定义台账分组。</w:t>
            </w:r>
            <w:r/>
          </w:p>
        </w:tc>
      </w:tr>
      <w:tr>
        <w:trPr/>
        <w:tc>
          <w:tcPr>
            <w:tcW w:w="1464" w:type="dxa"/>
            <w:vAlign w:val="center"/>
            <w:vMerge w:val="restart"/>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表格目录</w:t>
            </w:r>
            <w:r/>
          </w:p>
        </w:tc>
        <w:tc>
          <w:tcPr>
            <w:tcW w:w="1642" w:type="dxa"/>
            <w:vAlign w:val="center"/>
            <w:vMerge w:val="restart"/>
            <w:textDirection w:val="lrTb"/>
            <w:noWrap w:val="false"/>
          </w:tcPr>
          <w:p>
            <w:pPr>
              <w:spacing w:line="400" w:lineRule="exact"/>
              <w:widowControl/>
              <w:rPr>
                <w:rFonts w:hint="eastAsia" w:ascii="宋体" w:hAnsi="宋体" w:eastAsia="宋体" w:cs="宋体"/>
                <w:color w:val="000000"/>
                <w:szCs w:val="21"/>
                <w:lang w:bidi="ar"/>
              </w:rPr>
            </w:pPr>
            <w:r>
              <w:rPr>
                <w:rFonts w:hint="eastAsia"/>
              </w:rPr>
              <w:t xml:space="preserve">模板中心</w:t>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展示模版列表，包括已发布、待发布、已停用等</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vMerge w:val="continue"/>
            <w:textDirection w:val="lrTb"/>
            <w:noWrap w:val="false"/>
          </w:tcPr>
          <w:p>
            <w:pPr>
              <w:spacing w:line="400" w:lineRule="exact"/>
              <w:widowControl/>
            </w:pPr>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支持按使用场景添加模版，集成Excel在线模版设计工具，进行模版设计。</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vMerge w:val="continue"/>
            <w:textDirection w:val="lrTb"/>
            <w:noWrap w:val="false"/>
          </w:tcPr>
          <w:p>
            <w:pPr>
              <w:spacing w:line="400" w:lineRule="exact"/>
              <w:widowControl/>
            </w:pPr>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支持查看模版基本信息、模版预览。</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vMerge w:val="restart"/>
            <w:textDirection w:val="lrTb"/>
            <w:noWrap w:val="false"/>
          </w:tcPr>
          <w:p>
            <w:pPr>
              <w:spacing w:line="400" w:lineRule="exact"/>
              <w:widowControl/>
              <w:rPr>
                <w:rFonts w:hint="eastAsia" w:ascii="宋体" w:hAnsi="宋体" w:eastAsia="宋体" w:cs="宋体"/>
                <w:color w:val="000000"/>
                <w:szCs w:val="21"/>
                <w:lang w:bidi="ar"/>
              </w:rPr>
            </w:pPr>
            <w:r>
              <w:rPr>
                <w:rFonts w:hint="eastAsia"/>
              </w:rPr>
              <w:t xml:space="preserve">表格管理</w:t>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展示表格名称、目录分类、制表部门等信息</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vMerge w:val="continue"/>
            <w:textDirection w:val="lrTb"/>
            <w:noWrap w:val="false"/>
          </w:tcPr>
          <w:p>
            <w:pPr>
              <w:spacing w:line="400" w:lineRule="exact"/>
              <w:widowControl/>
            </w:pPr>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支持统计报表和明细台账两种表格配置。</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vMerge w:val="continue"/>
            <w:textDirection w:val="lrTb"/>
            <w:noWrap w:val="false"/>
          </w:tcPr>
          <w:p>
            <w:pPr>
              <w:spacing w:line="400" w:lineRule="exact"/>
              <w:widowControl/>
            </w:pPr>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支持包括编辑、删除、预览、送审、查看审批记录等操作。</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vMerge w:val="restart"/>
            <w:textDirection w:val="lrTb"/>
            <w:noWrap w:val="false"/>
          </w:tcPr>
          <w:p>
            <w:pPr>
              <w:spacing w:line="400" w:lineRule="exact"/>
              <w:widowControl/>
              <w:rPr>
                <w:rFonts w:hint="eastAsia" w:ascii="宋体" w:hAnsi="宋体" w:eastAsia="宋体" w:cs="宋体"/>
                <w:color w:val="000000"/>
                <w:szCs w:val="21"/>
                <w:lang w:bidi="ar"/>
              </w:rPr>
            </w:pPr>
            <w:r>
              <w:rPr>
                <w:rFonts w:hint="eastAsia"/>
              </w:rPr>
              <w:t xml:space="preserve">表单管理</w:t>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支持按照全部、草稿、待审核、审核通过、</w:t>
            </w:r>
            <w:r/>
          </w:p>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审核不通过等状态查询表单。</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vMerge w:val="continue"/>
            <w:textDirection w:val="lrTb"/>
            <w:noWrap w:val="false"/>
          </w:tcPr>
          <w:p>
            <w:pPr>
              <w:spacing w:line="400" w:lineRule="exact"/>
              <w:widowControl/>
            </w:pPr>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支持新建表单功能，内置组件库、模版库，支持拖拽式配置表单页面，支持PC、Pad、H5表单页面设计，支持组件设置、表单设置。</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vMerge w:val="continue"/>
            <w:textDirection w:val="lrTb"/>
            <w:noWrap w:val="false"/>
          </w:tcPr>
          <w:p>
            <w:pPr>
              <w:spacing w:line="400" w:lineRule="exact"/>
              <w:widowControl/>
            </w:pPr>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主要操作：包括编辑、删除、预览、送审、查看审批记录。</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vMerge w:val="restart"/>
            <w:textDirection w:val="lrTb"/>
            <w:noWrap w:val="false"/>
          </w:tcPr>
          <w:p>
            <w:pPr>
              <w:spacing w:line="400" w:lineRule="exact"/>
              <w:widowControl/>
              <w:rPr>
                <w:rFonts w:hint="eastAsia" w:ascii="宋体" w:hAnsi="宋体" w:eastAsia="宋体" w:cs="宋体"/>
                <w:color w:val="000000"/>
                <w:szCs w:val="21"/>
                <w:lang w:bidi="ar"/>
              </w:rPr>
            </w:pPr>
            <w:r>
              <w:rPr>
                <w:rFonts w:hint="eastAsia"/>
              </w:rPr>
              <w:t xml:space="preserve">表格核准</w:t>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支持列表展示待审核、已审核表格记录。</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vMerge w:val="continue"/>
            <w:textDirection w:val="lrTb"/>
            <w:noWrap w:val="false"/>
          </w:tcPr>
          <w:p>
            <w:pPr>
              <w:spacing w:line="400" w:lineRule="exact"/>
              <w:widowControl/>
            </w:pPr>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支持审核、预览、查看审核记录等操作。</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vMerge w:val="restart"/>
            <w:textDirection w:val="lrTb"/>
            <w:noWrap w:val="false"/>
          </w:tcPr>
          <w:p>
            <w:pPr>
              <w:spacing w:line="400" w:lineRule="exact"/>
              <w:widowControl/>
              <w:rPr>
                <w:rFonts w:hint="eastAsia" w:ascii="宋体" w:hAnsi="宋体" w:eastAsia="宋体" w:cs="宋体"/>
                <w:color w:val="000000"/>
                <w:szCs w:val="21"/>
                <w:lang w:bidi="ar"/>
              </w:rPr>
            </w:pPr>
            <w:r>
              <w:rPr>
                <w:rFonts w:hint="eastAsia"/>
              </w:rPr>
              <w:t xml:space="preserve">表单核准</w:t>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支持列表展示待审核、已审核表单记录。</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支持审核、预览、查看审核记录等操作。</w:t>
            </w:r>
            <w:r/>
          </w:p>
        </w:tc>
      </w:tr>
      <w:tr>
        <w:trPr/>
        <w:tc>
          <w:tcPr>
            <w:tcW w:w="1464" w:type="dxa"/>
            <w:vAlign w:val="center"/>
            <w:vMerge w:val="restart"/>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任务中心</w:t>
            </w:r>
            <w:r/>
          </w:p>
        </w:tc>
        <w:tc>
          <w:tcPr>
            <w:tcW w:w="1642" w:type="dxa"/>
            <w:vAlign w:val="center"/>
            <w:vMerge w:val="restart"/>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任务管理</w:t>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支持新建任务操作，包括任务基本信息、派发信息配置，支持一次性任务、周期性任务配置，支持选择表格、模版、表单，提供数据复用、数据分发规则配置。</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支持任务下发、任务终止、查看详情、填报进度、审批记录等操作。</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vMerge w:val="restart"/>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任务审核</w:t>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支持列表展示待审核、已审核任务记录。</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支持审核、预览、查看审核记录等操作。</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任务报表</w:t>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支持表格报表、表单报表等功能。</w:t>
            </w:r>
            <w:r/>
          </w:p>
        </w:tc>
      </w:tr>
      <w:tr>
        <w:trPr/>
        <w:tc>
          <w:tcPr>
            <w:tcW w:w="1464" w:type="dxa"/>
            <w:vAlign w:val="center"/>
            <w:vMerge w:val="restart"/>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填表报数</w:t>
            </w:r>
            <w:r/>
          </w:p>
        </w:tc>
        <w:tc>
          <w:tcPr>
            <w:tcW w:w="1642" w:type="dxa"/>
            <w:vAlign w:val="center"/>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任务填报</w:t>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展示待办任务列表，支持任务数据填报。</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预期记录</w:t>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展示预期任务列表，支持预期任务处理。</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填报记录</w:t>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展示填报记录，查看填报记录详情。</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填报审核</w:t>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支持填报记录审核。</w:t>
            </w:r>
            <w:r/>
          </w:p>
        </w:tc>
      </w:tr>
      <w:tr>
        <w:trPr/>
        <w:tc>
          <w:tcPr>
            <w:tcW w:w="1464" w:type="dxa"/>
            <w:vAlign w:val="center"/>
            <w:vMerge w:val="restart"/>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数据建模</w:t>
            </w:r>
            <w:r/>
          </w:p>
        </w:tc>
        <w:tc>
          <w:tcPr>
            <w:tcW w:w="1642" w:type="dxa"/>
            <w:vAlign w:val="center"/>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对象管理</w:t>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支持新增对象、编辑、详情、启用/禁用等操作。</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对象要素管理</w:t>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支持对象分类管理，包括新增编辑、删除、查看详情等功能；支持对象要素管理，包括新增要素、批量删除、规则配置、详情、编辑、删除等操作。</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标签管理</w:t>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支持新增、编辑、删除、详情等操作。</w:t>
            </w:r>
            <w:r/>
          </w:p>
        </w:tc>
      </w:tr>
      <w:tr>
        <w:trPr/>
        <w:tc>
          <w:tcPr>
            <w:tcW w:w="1464" w:type="dxa"/>
            <w:vAlign w:val="center"/>
            <w:vMerge w:val="restart"/>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系统管理</w:t>
            </w:r>
            <w:r/>
          </w:p>
        </w:tc>
        <w:tc>
          <w:tcPr>
            <w:tcW w:w="1642" w:type="dxa"/>
            <w:vAlign w:val="center"/>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字典项管理</w:t>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支持新增、编辑、删除等操作。</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数据权限</w:t>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支持数据权限、对象权限两类权限管理操作。</w:t>
            </w:r>
            <w:r/>
          </w:p>
        </w:tc>
      </w:tr>
      <w:tr>
        <w:trPr/>
        <w:tc>
          <w:tcPr>
            <w:tcW w:w="1464" w:type="dxa"/>
            <w:vAlign w:val="center"/>
            <w:vMerge w:val="restart"/>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工具箱</w:t>
            </w:r>
            <w:r/>
          </w:p>
        </w:tc>
        <w:tc>
          <w:tcPr>
            <w:tcW w:w="1642" w:type="dxa"/>
            <w:vAlign w:val="center"/>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数据融合</w:t>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支持异表融合、同表融合等功能。</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数据比对</w:t>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支持台账比对、表格比对等功能。</w:t>
            </w:r>
            <w:r/>
          </w:p>
        </w:tc>
      </w:tr>
      <w:tr>
        <w:trPr/>
        <w:tc>
          <w:tcPr>
            <w:tcW w:w="1464" w:type="dxa"/>
            <w:vAlign w:val="center"/>
            <w:vMerge w:val="continue"/>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2" w:type="dxa"/>
            <w:vAlign w:val="center"/>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数据脱敏</w:t>
            </w:r>
            <w:r/>
          </w:p>
        </w:tc>
        <w:tc>
          <w:tcPr>
            <w:tcW w:w="5524"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支持上传excel数据，进行数据脱敏，内置脱敏规则。</w:t>
            </w:r>
            <w:r/>
          </w:p>
        </w:tc>
      </w:tr>
    </w:tbl>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（2）综合治税管理系统</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面向涉税管理部门提供综合治税数据查询、统计等数据管理服务。</w:t>
      </w:r>
      <w:r>
        <w:rPr>
          <w:rFonts w:hint="eastAsia" w:ascii="宋体" w:hAnsi="宋体" w:eastAsia="宋体" w:cs="宋体"/>
          <w:sz w:val="24"/>
          <w:szCs w:val="20"/>
        </w:rPr>
        <w:t xml:space="preserve">包括但不限于：</w:t>
      </w:r>
      <w:r/>
    </w:p>
    <w:tbl>
      <w:tblPr>
        <w:tblStyle w:val="7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7"/>
        <w:gridCol w:w="1645"/>
        <w:gridCol w:w="5518"/>
      </w:tblGrid>
      <w:tr>
        <w:trPr/>
        <w:tc>
          <w:tcPr>
            <w:tcW w:w="1467"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1645"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子功能模块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名称</w:t>
            </w:r>
            <w:r/>
          </w:p>
        </w:tc>
        <w:tc>
          <w:tcPr>
            <w:tcW w:w="5518" w:type="dxa"/>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功能要求</w:t>
            </w:r>
            <w:r/>
          </w:p>
        </w:tc>
      </w:tr>
      <w:tr>
        <w:trPr/>
        <w:tc>
          <w:tcPr>
            <w:tcW w:w="1467" w:type="dxa"/>
            <w:vAlign w:val="center"/>
            <w:vMerge w:val="restart"/>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综合治税管理系统</w:t>
            </w:r>
            <w:r/>
          </w:p>
        </w:tc>
        <w:tc>
          <w:tcPr>
            <w:tcW w:w="1645"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cs="宋体"/>
                <w:sz w:val="24"/>
                <w:szCs w:val="20"/>
              </w:rPr>
              <w:t xml:space="preserve">首页</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提供综合查询、数据统计展示等模块。</w:t>
            </w:r>
            <w:r/>
          </w:p>
        </w:tc>
      </w:tr>
      <w:tr>
        <w:trPr/>
        <w:tc>
          <w:tcPr>
            <w:tcW w:w="1467" w:type="dxa"/>
            <w:vAlign w:val="center"/>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数据查询</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支持多维度、多层次的数据查询、展示。</w:t>
            </w:r>
            <w:r/>
          </w:p>
        </w:tc>
      </w:tr>
      <w:tr>
        <w:trPr/>
        <w:tc>
          <w:tcPr>
            <w:tcW w:w="1467" w:type="dxa"/>
            <w:vAlign w:val="center"/>
            <w:vMerge w:val="continue"/>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1645" w:type="dxa"/>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数据统计</w:t>
            </w:r>
            <w:r/>
          </w:p>
        </w:tc>
        <w:tc>
          <w:tcPr>
            <w:tcW w:w="5518" w:type="dxa"/>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对各涉税部门的数据上报情况进行统计分析展示。</w:t>
            </w:r>
            <w:r/>
          </w:p>
        </w:tc>
      </w:tr>
    </w:tbl>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（3）综合治税主题库建设</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根据市财政局要求，完成不少于100张综合治税相关数据表的采集治理工作，提供需求梳理、数据探查、标准梳理、数据建模、数据集成、数据质量管理、元数据管理等服务，形成综合治税主题库。</w:t>
      </w:r>
      <w:bookmarkEnd w:id="126"/>
      <w:r/>
      <w:bookmarkEnd w:id="127"/>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w:t>
      </w:r>
      <w:r>
        <w:rPr>
          <w:rFonts w:hint="eastAsia" w:ascii="宋体" w:hAnsi="宋体" w:eastAsia="宋体" w:cs="宋体"/>
          <w:b/>
          <w:bCs/>
          <w:sz w:val="24"/>
          <w:szCs w:val="20"/>
        </w:rPr>
        <w:t xml:space="preserve">二</w:t>
      </w:r>
      <w:r>
        <w:rPr>
          <w:rFonts w:hint="eastAsia" w:ascii="宋体" w:hAnsi="宋体" w:eastAsia="Arial" w:cs="宋体"/>
          <w:b/>
          <w:bCs/>
          <w:sz w:val="24"/>
          <w:szCs w:val="20"/>
        </w:rPr>
        <w:t xml:space="preserve">）</w:t>
      </w:r>
      <w:r>
        <w:rPr>
          <w:rFonts w:ascii="宋体" w:hAnsi="宋体" w:eastAsia="Arial" w:cs="宋体"/>
          <w:b/>
          <w:bCs/>
          <w:sz w:val="24"/>
          <w:szCs w:val="20"/>
        </w:rPr>
        <w:t xml:space="preserve">基础设施与应用支撑</w:t>
      </w:r>
      <w:r/>
    </w:p>
    <w:p>
      <w:pPr>
        <w:ind w:firstLine="482"/>
        <w:jc w:val="left"/>
        <w:spacing w:line="560" w:lineRule="exact"/>
        <w:widowControl/>
        <w:rPr>
          <w:rFonts w:hint="eastAsia" w:ascii="宋体" w:hAnsi="宋体" w:eastAsia="宋体" w:cs="宋体"/>
          <w:b/>
          <w:bCs/>
          <w:i/>
          <w:iCs/>
          <w:sz w:val="24"/>
          <w:szCs w:val="20"/>
          <w:u w:val="single"/>
        </w:rPr>
      </w:pPr>
      <w:r/>
      <w:bookmarkStart w:id="128" w:name="OLE_LINK11"/>
      <w:r>
        <w:rPr>
          <w:rFonts w:hint="eastAsia" w:ascii="宋体" w:hAnsi="宋体" w:eastAsia="Arial" w:cs="宋体"/>
          <w:b/>
          <w:bCs/>
          <w:i/>
          <w:iCs/>
          <w:sz w:val="24"/>
          <w:szCs w:val="20"/>
          <w:u w:val="single"/>
        </w:rPr>
        <w:t xml:space="preserve">★本项目所建平台全部在盐城市</w:t>
      </w:r>
      <w:r>
        <w:rPr>
          <w:rFonts w:hint="eastAsia" w:ascii="宋体" w:hAnsi="宋体" w:eastAsia="宋体" w:cs="宋体"/>
          <w:b/>
          <w:bCs/>
          <w:i/>
          <w:iCs/>
          <w:sz w:val="24"/>
          <w:szCs w:val="20"/>
          <w:u w:val="single"/>
        </w:rPr>
        <w:t xml:space="preserve">政务云</w:t>
      </w:r>
      <w:r>
        <w:rPr>
          <w:rFonts w:hint="eastAsia" w:ascii="宋体" w:hAnsi="宋体" w:eastAsia="Arial" w:cs="宋体"/>
          <w:b/>
          <w:bCs/>
          <w:i/>
          <w:iCs/>
          <w:sz w:val="24"/>
          <w:szCs w:val="20"/>
          <w:u w:val="single"/>
        </w:rPr>
        <w:t xml:space="preserve">环境下运行。项目所需</w:t>
      </w:r>
      <w:r>
        <w:rPr>
          <w:rFonts w:hint="eastAsia" w:ascii="宋体" w:hAnsi="宋体" w:eastAsia="宋体" w:cs="宋体"/>
          <w:b/>
          <w:bCs/>
          <w:i/>
          <w:iCs/>
          <w:sz w:val="24"/>
          <w:szCs w:val="20"/>
          <w:u w:val="single"/>
        </w:rPr>
        <w:t xml:space="preserve">国产化</w:t>
      </w:r>
      <w:r>
        <w:rPr>
          <w:rFonts w:hint="eastAsia" w:ascii="宋体" w:hAnsi="宋体" w:eastAsia="Arial" w:cs="宋体"/>
          <w:b/>
          <w:bCs/>
          <w:i/>
          <w:iCs/>
          <w:sz w:val="24"/>
          <w:szCs w:val="20"/>
          <w:u w:val="single"/>
        </w:rPr>
        <w:t xml:space="preserve">硬件资源（含云主机、云存储、网络安全硬件资源等）及</w:t>
      </w:r>
      <w:r>
        <w:rPr>
          <w:rFonts w:hint="eastAsia" w:ascii="宋体" w:hAnsi="宋体" w:eastAsia="宋体" w:cs="宋体"/>
          <w:b/>
          <w:bCs/>
          <w:i/>
          <w:iCs/>
          <w:sz w:val="24"/>
          <w:szCs w:val="20"/>
          <w:u w:val="single"/>
        </w:rPr>
        <w:t xml:space="preserve">操作系统</w:t>
      </w:r>
      <w:r>
        <w:rPr>
          <w:rFonts w:hint="eastAsia" w:ascii="宋体" w:hAnsi="宋体" w:eastAsia="Arial" w:cs="宋体"/>
          <w:b/>
          <w:bCs/>
          <w:i/>
          <w:iCs/>
          <w:sz w:val="24"/>
          <w:szCs w:val="20"/>
          <w:u w:val="single"/>
        </w:rPr>
        <w:t xml:space="preserve">、数据库</w:t>
      </w:r>
      <w:r>
        <w:rPr>
          <w:rFonts w:hint="eastAsia" w:ascii="宋体" w:hAnsi="宋体" w:eastAsia="宋体" w:cs="宋体"/>
          <w:b/>
          <w:bCs/>
          <w:i/>
          <w:iCs/>
          <w:sz w:val="24"/>
          <w:szCs w:val="20"/>
          <w:u w:val="single"/>
        </w:rPr>
        <w:t xml:space="preserve">、</w:t>
      </w:r>
      <w:r>
        <w:rPr>
          <w:rFonts w:hint="eastAsia" w:ascii="宋体" w:hAnsi="宋体" w:eastAsia="Arial" w:cs="宋体"/>
          <w:b/>
          <w:bCs/>
          <w:i/>
          <w:iCs/>
          <w:sz w:val="24"/>
          <w:szCs w:val="20"/>
          <w:u w:val="single"/>
        </w:rPr>
        <w:t xml:space="preserve">中间件等均由盐城市政务云提供</w:t>
      </w:r>
      <w:r>
        <w:rPr>
          <w:rFonts w:hint="eastAsia" w:ascii="宋体" w:hAnsi="宋体" w:eastAsia="宋体" w:cs="宋体"/>
          <w:b/>
          <w:bCs/>
          <w:i/>
          <w:iCs/>
          <w:sz w:val="24"/>
          <w:szCs w:val="20"/>
          <w:u w:val="single"/>
        </w:rPr>
        <w:t xml:space="preserve">，如政务云提供的相关资源因投标人自身原因不能适配，所需新增资源由投标人自行承担相关费用</w:t>
      </w:r>
      <w:r>
        <w:rPr>
          <w:rFonts w:hint="eastAsia" w:ascii="宋体" w:hAnsi="宋体" w:eastAsia="Arial" w:cs="宋体"/>
          <w:b/>
          <w:bCs/>
          <w:i/>
          <w:iCs/>
          <w:sz w:val="24"/>
          <w:szCs w:val="20"/>
          <w:u w:val="single"/>
        </w:rPr>
        <w:t xml:space="preserve">。</w:t>
      </w:r>
      <w:r>
        <w:rPr>
          <w:rFonts w:hint="eastAsia" w:ascii="宋体" w:hAnsi="宋体" w:eastAsia="宋体" w:cs="宋体"/>
          <w:b/>
          <w:bCs/>
          <w:i/>
          <w:iCs/>
          <w:sz w:val="24"/>
          <w:szCs w:val="20"/>
          <w:u w:val="single"/>
        </w:rPr>
        <w:t xml:space="preserve">（投标人须出具承诺函，</w:t>
      </w:r>
      <w:r>
        <w:rPr>
          <w:rFonts w:hint="eastAsia" w:ascii="宋体" w:hAnsi="宋体" w:eastAsia="宋体" w:cs="宋体"/>
          <w:b/>
          <w:bCs/>
          <w:i/>
          <w:iCs/>
          <w:sz w:val="24"/>
          <w:szCs w:val="20"/>
          <w:u w:val="single"/>
          <w:lang w:val="en-US" w:eastAsia="zh-CN"/>
        </w:rPr>
        <w:t xml:space="preserve">承诺函自制</w:t>
      </w:r>
      <w:r>
        <w:rPr>
          <w:rFonts w:hint="eastAsia" w:ascii="宋体" w:hAnsi="宋体" w:eastAsia="宋体" w:cs="宋体"/>
          <w:b/>
          <w:bCs/>
          <w:i/>
          <w:iCs/>
          <w:sz w:val="24"/>
          <w:szCs w:val="20"/>
          <w:u w:val="single"/>
          <w:lang w:eastAsia="zh-CN"/>
        </w:rPr>
        <w:t xml:space="preserve">，</w:t>
      </w:r>
      <w:r>
        <w:rPr>
          <w:rFonts w:hint="eastAsia" w:ascii="宋体" w:hAnsi="宋体" w:eastAsia="宋体" w:cs="宋体"/>
          <w:b/>
          <w:bCs/>
          <w:i/>
          <w:iCs/>
          <w:sz w:val="24"/>
          <w:szCs w:val="20"/>
          <w:u w:val="single"/>
        </w:rPr>
        <w:t xml:space="preserve">并加盖投标人公章）。</w:t>
      </w:r>
      <w:bookmarkEnd w:id="128"/>
      <w:r/>
      <w:r/>
    </w:p>
    <w:p>
      <w:pPr>
        <w:ind w:firstLine="482"/>
        <w:jc w:val="left"/>
        <w:spacing w:line="560" w:lineRule="exact"/>
        <w:widowControl/>
        <w:rPr>
          <w:rFonts w:ascii="宋体" w:hAnsi="宋体" w:eastAsia="Arial" w:cs="宋体"/>
          <w:b/>
          <w:bCs/>
          <w:i/>
          <w:iCs/>
          <w:sz w:val="24"/>
          <w:szCs w:val="20"/>
          <w:u w:val="single"/>
        </w:rPr>
      </w:pPr>
      <w:r>
        <w:rPr>
          <w:rFonts w:hint="eastAsia" w:ascii="宋体" w:hAnsi="宋体" w:eastAsia="Arial" w:cs="宋体"/>
          <w:b/>
          <w:bCs/>
          <w:i/>
          <w:iCs/>
          <w:sz w:val="24"/>
          <w:szCs w:val="20"/>
          <w:u w:val="single"/>
        </w:rPr>
        <w:t xml:space="preserve">注：本项目招标文件中标注★为实质性要求，不允许负偏离，否则为无效投标。</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w:t>
      </w:r>
      <w:r>
        <w:rPr>
          <w:rFonts w:hint="eastAsia" w:ascii="宋体" w:hAnsi="宋体" w:eastAsia="宋体" w:cs="宋体"/>
          <w:b/>
          <w:bCs/>
          <w:sz w:val="24"/>
          <w:szCs w:val="20"/>
        </w:rPr>
        <w:t xml:space="preserve">三</w:t>
      </w:r>
      <w:r>
        <w:rPr>
          <w:rFonts w:hint="eastAsia" w:ascii="宋体" w:hAnsi="宋体" w:eastAsia="Arial" w:cs="宋体"/>
          <w:b/>
          <w:bCs/>
          <w:sz w:val="24"/>
          <w:szCs w:val="20"/>
        </w:rPr>
        <w:t xml:space="preserve">）</w:t>
      </w:r>
      <w:r>
        <w:rPr>
          <w:rFonts w:ascii="宋体" w:hAnsi="宋体" w:eastAsia="Arial" w:cs="宋体"/>
          <w:b/>
          <w:bCs/>
          <w:sz w:val="24"/>
          <w:szCs w:val="20"/>
        </w:rPr>
        <w:t xml:space="preserve">系统性能要求</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充分考虑业务的特殊性和复杂性，确保系统的总体性能满足用户要求，</w:t>
      </w:r>
      <w:r>
        <w:rPr>
          <w:rFonts w:hint="eastAsia" w:ascii="宋体" w:hAnsi="宋体" w:eastAsia="宋体" w:cs="宋体"/>
          <w:sz w:val="24"/>
          <w:szCs w:val="20"/>
        </w:rPr>
        <w:t xml:space="preserve">避免</w:t>
      </w:r>
      <w:r>
        <w:rPr>
          <w:rFonts w:ascii="宋体" w:hAnsi="宋体" w:eastAsia="Arial" w:cs="宋体"/>
          <w:sz w:val="24"/>
          <w:szCs w:val="20"/>
        </w:rPr>
        <w:t xml:space="preserve">发生长时间中断、阻塞、死锁等情况。</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1.系统性能要求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（1）数字资源“一本账”管理系统性能要求</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支持不少于</w:t>
      </w:r>
      <w:r>
        <w:rPr>
          <w:rFonts w:hint="eastAsia" w:ascii="宋体" w:hAnsi="宋体" w:eastAsia="Arial" w:cs="宋体"/>
          <w:sz w:val="24"/>
          <w:szCs w:val="20"/>
        </w:rPr>
        <w:t xml:space="preserve">300</w:t>
      </w:r>
      <w:r>
        <w:rPr>
          <w:rFonts w:ascii="宋体" w:hAnsi="宋体" w:eastAsia="Arial" w:cs="宋体"/>
          <w:sz w:val="24"/>
          <w:szCs w:val="20"/>
        </w:rPr>
        <w:t xml:space="preserve">并发用户同时操作；页面加载响应时间不超过3秒；接口调用响应时间不超过1秒</w:t>
      </w:r>
      <w:r>
        <w:rPr>
          <w:rFonts w:hint="eastAsia" w:ascii="宋体" w:hAnsi="宋体" w:eastAsia="Arial"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（2）公共数据平台系统性能要求</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基础数据业务性能方面：为保障数据库、数据专区等稳定运行，需支持同时在线数不少于</w:t>
      </w:r>
      <w:r>
        <w:rPr>
          <w:rFonts w:hint="eastAsia" w:ascii="宋体" w:hAnsi="宋体" w:eastAsia="Arial" w:cs="宋体"/>
          <w:sz w:val="24"/>
          <w:szCs w:val="20"/>
        </w:rPr>
        <w:t xml:space="preserve">500</w:t>
      </w:r>
      <w:r>
        <w:rPr>
          <w:rFonts w:ascii="宋体" w:hAnsi="宋体" w:eastAsia="Arial" w:cs="宋体"/>
          <w:sz w:val="24"/>
          <w:szCs w:val="20"/>
        </w:rPr>
        <w:t xml:space="preserve">，并发用户数不少于</w:t>
      </w:r>
      <w:r>
        <w:rPr>
          <w:rFonts w:hint="eastAsia" w:ascii="宋体" w:hAnsi="宋体" w:eastAsia="Arial" w:cs="宋体"/>
          <w:sz w:val="24"/>
          <w:szCs w:val="20"/>
        </w:rPr>
        <w:t xml:space="preserve">100</w:t>
      </w:r>
      <w:r>
        <w:rPr>
          <w:rFonts w:ascii="宋体" w:hAnsi="宋体" w:eastAsia="Arial" w:cs="宋体"/>
          <w:sz w:val="24"/>
          <w:szCs w:val="20"/>
        </w:rPr>
        <w:t xml:space="preserve">；当平台数据量随着时间累积增加后，每年事务性操作平均响应时间增幅小于1秒，每年统计性操作平均响应时间增幅小于3秒。</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数据查询性能方面：查询基础数据（精确匹配）的响应时间小于3秒；查询单个数据主题（百万级）的响应时间小于3秒；目录检索的响应时间小于2秒；查询统计报表（非实时统计）的响应时间小于3秒。</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人口、法人、信用等基础数据库性能方面：查询基础数据（精确匹配）的响应时间≤3秒，大数据（百万级）批量的查询、统计与复杂的汇总，原则上平均响应时间≤10秒，登录、新增、修改、删除等事务性操作平均响应时间小于3秒，单笔记录查询平均响应时间小于3秒，统计或大数据量查询的单笔统计平均响应时间&lt;5秒，除单笔统计以外的其他统计平均响应时间&lt;8秒；基础数据库单表查询（精确匹配）的响应时间≤1秒，多表关联查询（精确匹配）的响应时间≤3秒，百万以下单表分组统计查询的响应时间≤1秒，</w:t>
      </w:r>
      <w:r>
        <w:rPr>
          <w:rFonts w:hint="eastAsia" w:ascii="宋体" w:hAnsi="宋体" w:eastAsia="宋体" w:cs="宋体"/>
          <w:sz w:val="24"/>
          <w:szCs w:val="20"/>
        </w:rPr>
        <w:t xml:space="preserve">百</w:t>
      </w:r>
      <w:r>
        <w:rPr>
          <w:rFonts w:ascii="宋体" w:hAnsi="宋体" w:eastAsia="Arial" w:cs="宋体"/>
          <w:sz w:val="24"/>
          <w:szCs w:val="20"/>
        </w:rPr>
        <w:t xml:space="preserve">万级别单表分组统计查询的响应时间≤5秒。</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电子证照基础数据库性能方面：在</w:t>
      </w:r>
      <w:r>
        <w:rPr>
          <w:rFonts w:hint="eastAsia" w:ascii="宋体" w:hAnsi="宋体" w:eastAsia="宋体" w:cs="宋体"/>
          <w:sz w:val="24"/>
          <w:szCs w:val="20"/>
        </w:rPr>
        <w:t xml:space="preserve">百</w:t>
      </w:r>
      <w:r>
        <w:rPr>
          <w:rFonts w:hint="eastAsia" w:ascii="宋体" w:hAnsi="宋体" w:eastAsia="Arial" w:cs="宋体"/>
          <w:sz w:val="24"/>
          <w:szCs w:val="20"/>
        </w:rPr>
        <w:t xml:space="preserve">万</w:t>
      </w:r>
      <w:r>
        <w:rPr>
          <w:rFonts w:ascii="宋体" w:hAnsi="宋体" w:eastAsia="Arial" w:cs="宋体"/>
          <w:sz w:val="24"/>
          <w:szCs w:val="20"/>
        </w:rPr>
        <w:t xml:space="preserve">级数据量下，单表查询单用户响应时间不超过500毫秒，并发100和1000请求数时响应时间分别不超过1秒和3秒；多表关联查询单用户响应不超过1秒，并发100和1000请求数时响应时间分别不超过3秒和5秒；数据插入和修改操作中，单条操作响应时间均不超过500毫秒，批量（1000条）插入和修改分别不超过1秒和3秒。</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数据治理性能方面：单主题数据流入支撑不少于100条/秒，流出不少于100条/秒；简单治理规则单数据秒级处理，复杂规则单数据分钟级处理；贴源层、标准层、服务层数据库平台支持</w:t>
      </w:r>
      <w:r>
        <w:rPr>
          <w:rFonts w:hint="eastAsia" w:ascii="宋体" w:hAnsi="宋体" w:eastAsia="Arial" w:cs="宋体"/>
          <w:sz w:val="24"/>
          <w:szCs w:val="20"/>
        </w:rPr>
        <w:t xml:space="preserve">2000</w:t>
      </w:r>
      <w:r>
        <w:rPr>
          <w:rFonts w:ascii="宋体" w:hAnsi="宋体" w:eastAsia="Arial" w:cs="宋体"/>
          <w:sz w:val="24"/>
          <w:szCs w:val="20"/>
        </w:rPr>
        <w:t xml:space="preserve">个数据治理任务同时启动执行，支持每小时完成</w:t>
      </w:r>
      <w:r>
        <w:rPr>
          <w:rFonts w:hint="eastAsia" w:ascii="宋体" w:hAnsi="宋体" w:eastAsia="Arial" w:cs="宋体"/>
          <w:sz w:val="24"/>
          <w:szCs w:val="20"/>
        </w:rPr>
        <w:t xml:space="preserve">1</w:t>
      </w:r>
      <w:r>
        <w:rPr>
          <w:rFonts w:ascii="宋体" w:hAnsi="宋体" w:eastAsia="Arial" w:cs="宋体"/>
          <w:sz w:val="24"/>
          <w:szCs w:val="20"/>
        </w:rPr>
        <w:t xml:space="preserve">亿以上数据的处理。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2.其他通用性能要求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 响应性能指标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响应时间：各用户界面平均响应时间小于0.5秒；对于日常业务操作中，如文件上传、审批流程等操作，平均响应时间小于2秒，保证用户操作的流畅性与即时性；对于复杂业务的查询、录入、修改、删除等请求，平均响应时间小于3秒，以满足业务人员对数据的快速获取需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（2）稳定性指标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系统可靠性：达到7×24h的可靠运行能力，在系统要求高并发服务下，系统可用性达到99.9%，即每年的不可用时间不超过8.76小时（365天×24小时×0.1%）。</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（3）兼容性指标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系统兼容性：需无缝兼容主流国产化操作系统，支持主流国产数据库管理系统和中间件系统，确保系统</w:t>
      </w:r>
      <w:r>
        <w:rPr>
          <w:rFonts w:hint="eastAsia" w:ascii="宋体" w:hAnsi="宋体" w:eastAsia="宋体" w:cs="宋体"/>
          <w:sz w:val="24"/>
          <w:szCs w:val="20"/>
          <w:lang w:eastAsia="zh-CN"/>
        </w:rPr>
        <w:t xml:space="preserve">可以</w:t>
      </w:r>
      <w:r>
        <w:rPr>
          <w:rFonts w:hint="eastAsia" w:ascii="宋体" w:hAnsi="宋体" w:eastAsia="Arial" w:cs="宋体"/>
          <w:sz w:val="24"/>
          <w:szCs w:val="20"/>
        </w:rPr>
        <w:t xml:space="preserve">在不同环境下稳定运行。</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w:t>
      </w:r>
      <w:r>
        <w:rPr>
          <w:rFonts w:hint="eastAsia" w:ascii="宋体" w:hAnsi="宋体" w:eastAsia="宋体" w:cs="宋体"/>
          <w:b/>
          <w:bCs/>
          <w:sz w:val="24"/>
          <w:szCs w:val="20"/>
        </w:rPr>
        <w:t xml:space="preserve">四</w:t>
      </w:r>
      <w:r>
        <w:rPr>
          <w:rFonts w:hint="eastAsia" w:ascii="宋体" w:hAnsi="宋体" w:eastAsia="Arial" w:cs="宋体"/>
          <w:b/>
          <w:bCs/>
          <w:sz w:val="24"/>
          <w:szCs w:val="20"/>
        </w:rPr>
        <w:t xml:space="preserve">）</w:t>
      </w:r>
      <w:r>
        <w:rPr>
          <w:rFonts w:ascii="宋体" w:hAnsi="宋体" w:eastAsia="Arial" w:cs="宋体"/>
          <w:b/>
          <w:bCs/>
          <w:sz w:val="24"/>
          <w:szCs w:val="20"/>
        </w:rPr>
        <w:t xml:space="preserve">系统安全要求</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项目需严格按照网络安全法、数据安全法和个人信息保护法等相关法律实施，保证网络和信息安全的有效性。</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w:t>
      </w:r>
      <w:r>
        <w:rPr>
          <w:rFonts w:hint="eastAsia" w:ascii="宋体" w:hAnsi="宋体" w:eastAsia="宋体" w:cs="宋体"/>
          <w:sz w:val="24"/>
          <w:szCs w:val="20"/>
        </w:rPr>
        <w:t xml:space="preserve">网络安全等级保护测评要求</w:t>
      </w:r>
      <w:r/>
    </w:p>
    <w:p>
      <w:pPr>
        <w:ind w:firstLine="482"/>
        <w:jc w:val="left"/>
        <w:spacing w:line="560" w:lineRule="exact"/>
        <w:widowControl/>
        <w:rPr>
          <w:rFonts w:ascii="宋体" w:hAnsi="宋体" w:eastAsia="Arial" w:cs="宋体"/>
          <w:b/>
          <w:bCs/>
          <w:i/>
          <w:iCs/>
          <w:sz w:val="24"/>
          <w:szCs w:val="20"/>
          <w:u w:val="single"/>
        </w:rPr>
      </w:pPr>
      <w:r>
        <w:rPr>
          <w:rFonts w:hint="eastAsia" w:ascii="宋体" w:hAnsi="宋体" w:eastAsia="Arial" w:cs="宋体"/>
          <w:b/>
          <w:bCs/>
          <w:i/>
          <w:iCs/>
          <w:sz w:val="24"/>
          <w:szCs w:val="20"/>
          <w:u w:val="single"/>
        </w:rPr>
        <w:t xml:space="preserve">★</w:t>
      </w:r>
      <w:r>
        <w:rPr>
          <w:rFonts w:hint="eastAsia" w:ascii="宋体" w:hAnsi="宋体" w:eastAsia="宋体" w:cs="宋体"/>
          <w:b/>
          <w:bCs/>
          <w:i/>
          <w:iCs/>
          <w:sz w:val="24"/>
          <w:szCs w:val="20"/>
          <w:u w:val="single"/>
        </w:rPr>
        <w:t xml:space="preserve">投标人须按照网络安全等级保护三级的防护要求进行项目实施交付，根据第三方测评结果进行整改，直至通过（投标人须出具承诺函，</w:t>
      </w:r>
      <w:r>
        <w:rPr>
          <w:rFonts w:hint="eastAsia" w:ascii="宋体" w:hAnsi="宋体" w:eastAsia="宋体" w:cs="宋体"/>
          <w:b/>
          <w:bCs/>
          <w:i/>
          <w:iCs/>
          <w:sz w:val="24"/>
          <w:szCs w:val="20"/>
          <w:u w:val="single"/>
          <w:lang w:val="en-US" w:eastAsia="zh-CN"/>
        </w:rPr>
        <w:t xml:space="preserve">承诺函自制</w:t>
      </w:r>
      <w:r>
        <w:rPr>
          <w:rFonts w:hint="eastAsia" w:ascii="宋体" w:hAnsi="宋体" w:eastAsia="宋体" w:cs="宋体"/>
          <w:b/>
          <w:bCs/>
          <w:i/>
          <w:iCs/>
          <w:sz w:val="24"/>
          <w:szCs w:val="20"/>
          <w:u w:val="single"/>
        </w:rPr>
        <w:t xml:space="preserve">，并加盖投标人公章）。</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w:t>
      </w:r>
      <w:r>
        <w:rPr>
          <w:rFonts w:hint="eastAsia" w:ascii="宋体" w:hAnsi="宋体" w:eastAsia="宋体" w:cs="宋体"/>
          <w:sz w:val="24"/>
          <w:szCs w:val="20"/>
        </w:rPr>
        <w:t xml:space="preserve">第三方软件测试要求</w:t>
      </w:r>
      <w:r/>
    </w:p>
    <w:p>
      <w:pPr>
        <w:ind w:firstLine="482"/>
        <w:jc w:val="left"/>
        <w:spacing w:line="560" w:lineRule="exact"/>
        <w:widowControl/>
        <w:rPr>
          <w:rFonts w:ascii="宋体" w:hAnsi="宋体" w:eastAsia="Arial" w:cs="宋体"/>
          <w:b/>
          <w:bCs/>
          <w:i/>
          <w:iCs/>
          <w:sz w:val="24"/>
          <w:szCs w:val="20"/>
          <w:u w:val="single"/>
        </w:rPr>
      </w:pPr>
      <w:r>
        <w:rPr>
          <w:rFonts w:hint="eastAsia" w:ascii="宋体" w:hAnsi="宋体" w:eastAsia="Arial" w:cs="宋体"/>
          <w:b/>
          <w:bCs/>
          <w:i/>
          <w:iCs/>
          <w:sz w:val="24"/>
          <w:szCs w:val="20"/>
          <w:u w:val="single"/>
        </w:rPr>
        <w:t xml:space="preserve">★</w:t>
      </w:r>
      <w:r>
        <w:rPr>
          <w:rFonts w:hint="eastAsia" w:ascii="宋体" w:hAnsi="宋体" w:eastAsia="宋体" w:cs="宋体"/>
          <w:b/>
          <w:bCs/>
          <w:i/>
          <w:iCs/>
          <w:sz w:val="24"/>
          <w:szCs w:val="20"/>
          <w:u w:val="single"/>
        </w:rPr>
        <w:t xml:space="preserve">投标人须以相关行业及国家测试标准及规范进行项目实施交付，根据第三方测试结果进行整改，直至通过（投标人须出具承诺函，</w:t>
      </w:r>
      <w:r>
        <w:rPr>
          <w:rFonts w:hint="eastAsia" w:ascii="宋体" w:hAnsi="宋体" w:eastAsia="宋体" w:cs="宋体"/>
          <w:b/>
          <w:bCs/>
          <w:i/>
          <w:iCs/>
          <w:sz w:val="24"/>
          <w:szCs w:val="20"/>
          <w:u w:val="single"/>
          <w:lang w:val="en-US" w:eastAsia="zh-CN"/>
        </w:rPr>
        <w:t xml:space="preserve">承诺函自制</w:t>
      </w:r>
      <w:r>
        <w:rPr>
          <w:rFonts w:hint="eastAsia" w:ascii="宋体" w:hAnsi="宋体" w:eastAsia="宋体" w:cs="宋体"/>
          <w:b/>
          <w:bCs/>
          <w:i/>
          <w:iCs/>
          <w:sz w:val="24"/>
          <w:szCs w:val="20"/>
          <w:u w:val="single"/>
          <w:lang w:eastAsia="zh-CN"/>
        </w:rPr>
        <w:t xml:space="preserve">，</w:t>
      </w:r>
      <w:r>
        <w:rPr>
          <w:rFonts w:hint="eastAsia" w:ascii="宋体" w:hAnsi="宋体" w:eastAsia="宋体" w:cs="宋体"/>
          <w:b/>
          <w:bCs/>
          <w:i/>
          <w:iCs/>
          <w:sz w:val="24"/>
          <w:szCs w:val="20"/>
          <w:u w:val="single"/>
        </w:rPr>
        <w:t xml:space="preserve">并加盖投标人公章）。</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w:t>
      </w:r>
      <w:r>
        <w:rPr>
          <w:rFonts w:hint="eastAsia" w:ascii="宋体" w:hAnsi="宋体" w:eastAsia="宋体" w:cs="宋体"/>
          <w:sz w:val="24"/>
          <w:szCs w:val="20"/>
        </w:rPr>
        <w:t xml:space="preserve">商用密码应用安全性评估要求</w:t>
      </w:r>
      <w:r/>
    </w:p>
    <w:p>
      <w:pPr>
        <w:ind w:firstLine="482"/>
        <w:jc w:val="left"/>
        <w:spacing w:line="560" w:lineRule="exact"/>
        <w:widowControl/>
        <w:rPr>
          <w:rFonts w:hint="eastAsia" w:ascii="宋体" w:hAnsi="宋体" w:eastAsia="宋体" w:cs="宋体"/>
          <w:b/>
          <w:bCs/>
          <w:i/>
          <w:iCs/>
          <w:sz w:val="24"/>
          <w:szCs w:val="20"/>
          <w:u w:val="single"/>
        </w:rPr>
      </w:pPr>
      <w:r>
        <w:rPr>
          <w:rFonts w:hint="eastAsia" w:ascii="宋体" w:hAnsi="宋体" w:eastAsia="Arial" w:cs="宋体"/>
          <w:b/>
          <w:bCs/>
          <w:i/>
          <w:iCs/>
          <w:sz w:val="24"/>
          <w:szCs w:val="20"/>
          <w:u w:val="single"/>
        </w:rPr>
        <w:t xml:space="preserve">★</w:t>
      </w:r>
      <w:r>
        <w:rPr>
          <w:rFonts w:hint="eastAsia" w:ascii="宋体" w:hAnsi="宋体" w:eastAsia="宋体" w:cs="宋体"/>
          <w:b/>
          <w:bCs/>
          <w:i/>
          <w:iCs/>
          <w:sz w:val="24"/>
          <w:szCs w:val="20"/>
          <w:u w:val="single"/>
        </w:rPr>
        <w:t xml:space="preserve">投标人须按照《信息安全技术</w:t>
      </w:r>
      <w:r>
        <w:rPr>
          <w:rFonts w:hint="eastAsia" w:ascii="宋体" w:hAnsi="宋体" w:eastAsia="Arial" w:cs="宋体"/>
          <w:b/>
          <w:bCs/>
          <w:i/>
          <w:iCs/>
          <w:sz w:val="24"/>
          <w:szCs w:val="20"/>
          <w:u w:val="single"/>
        </w:rPr>
        <w:t xml:space="preserve"> </w:t>
      </w:r>
      <w:r>
        <w:rPr>
          <w:rFonts w:hint="eastAsia" w:ascii="宋体" w:hAnsi="宋体" w:eastAsia="宋体" w:cs="宋体"/>
          <w:b/>
          <w:bCs/>
          <w:i/>
          <w:iCs/>
          <w:sz w:val="24"/>
          <w:szCs w:val="20"/>
          <w:u w:val="single"/>
        </w:rPr>
        <w:t xml:space="preserve">信息系统密码应用基本要求》（</w:t>
      </w:r>
      <w:r>
        <w:rPr>
          <w:rFonts w:hint="eastAsia" w:ascii="宋体" w:hAnsi="宋体" w:eastAsia="Arial" w:cs="宋体"/>
          <w:b/>
          <w:bCs/>
          <w:i/>
          <w:iCs/>
          <w:sz w:val="24"/>
          <w:szCs w:val="20"/>
          <w:u w:val="single"/>
        </w:rPr>
        <w:t xml:space="preserve">GB/T 39786-2021</w:t>
      </w:r>
      <w:r>
        <w:rPr>
          <w:rFonts w:hint="eastAsia" w:ascii="宋体" w:hAnsi="宋体" w:eastAsia="宋体" w:cs="宋体"/>
          <w:b/>
          <w:bCs/>
          <w:i/>
          <w:iCs/>
          <w:sz w:val="24"/>
          <w:szCs w:val="20"/>
          <w:u w:val="single"/>
        </w:rPr>
        <w:t xml:space="preserve">）等标准中第三级的相关要求进行项目实施交付，根据第三方评估结果进行整改，直至通过（投标人须出具承诺函，</w:t>
      </w:r>
      <w:r>
        <w:rPr>
          <w:rFonts w:hint="eastAsia" w:ascii="宋体" w:hAnsi="宋体" w:eastAsia="宋体" w:cs="宋体"/>
          <w:b/>
          <w:bCs/>
          <w:i/>
          <w:iCs/>
          <w:sz w:val="24"/>
          <w:szCs w:val="20"/>
          <w:u w:val="single"/>
          <w:lang w:val="en-US" w:eastAsia="zh-CN"/>
        </w:rPr>
        <w:t xml:space="preserve">承诺函自制</w:t>
      </w:r>
      <w:r>
        <w:rPr>
          <w:rFonts w:hint="eastAsia" w:ascii="宋体" w:hAnsi="宋体" w:eastAsia="宋体" w:cs="宋体"/>
          <w:b/>
          <w:bCs/>
          <w:i/>
          <w:iCs/>
          <w:sz w:val="24"/>
          <w:szCs w:val="20"/>
          <w:u w:val="single"/>
          <w:lang w:eastAsia="zh-CN"/>
        </w:rPr>
        <w:t xml:space="preserve">，</w:t>
      </w:r>
      <w:r>
        <w:rPr>
          <w:rFonts w:hint="eastAsia" w:ascii="宋体" w:hAnsi="宋体" w:eastAsia="宋体" w:cs="宋体"/>
          <w:b/>
          <w:bCs/>
          <w:i/>
          <w:iCs/>
          <w:sz w:val="24"/>
          <w:szCs w:val="20"/>
          <w:u w:val="single"/>
        </w:rPr>
        <w:t xml:space="preserve">并加盖投标人公章）。</w:t>
      </w:r>
      <w:r/>
    </w:p>
    <w:p>
      <w:pPr>
        <w:ind w:firstLine="482"/>
        <w:jc w:val="left"/>
        <w:spacing w:line="560" w:lineRule="exact"/>
        <w:widowControl/>
        <w:rPr>
          <w:rFonts w:ascii="宋体" w:hAnsi="宋体" w:eastAsia="Arial" w:cs="宋体"/>
          <w:b/>
          <w:bCs/>
          <w:i/>
          <w:sz w:val="24"/>
          <w:szCs w:val="20"/>
          <w:u w:val="single"/>
        </w:rPr>
      </w:pPr>
      <w:r>
        <w:rPr>
          <w:rFonts w:hint="eastAsia" w:ascii="宋体" w:hAnsi="宋体" w:eastAsia="Arial" w:cs="宋体"/>
          <w:b/>
          <w:bCs/>
          <w:i/>
          <w:iCs/>
          <w:sz w:val="24"/>
          <w:szCs w:val="20"/>
          <w:u w:val="single"/>
        </w:rPr>
        <w:t xml:space="preserve">注：本项目招标文件中标注★为实质性要求，不允许负偏离，否则为无效投标。</w:t>
      </w:r>
      <w:r/>
    </w:p>
    <w:p>
      <w:pPr>
        <w:ind w:firstLine="482"/>
        <w:jc w:val="left"/>
        <w:spacing w:line="560" w:lineRule="exact"/>
        <w:widowControl/>
        <w:rPr>
          <w:rFonts w:hint="eastAsia" w:ascii="宋体" w:hAnsi="宋体" w:eastAsia="宋体" w:cs="宋体"/>
          <w:b/>
          <w:bCs/>
          <w:sz w:val="24"/>
          <w:szCs w:val="20"/>
        </w:rPr>
        <w:outlineLvl w:val="2"/>
      </w:pPr>
      <w:r/>
      <w:bookmarkStart w:id="129" w:name="_Toc120614281"/>
      <w:r>
        <w:rPr>
          <w:rFonts w:hint="eastAsia" w:ascii="宋体" w:hAnsi="宋体" w:eastAsia="宋体" w:cs="宋体"/>
          <w:b/>
          <w:bCs/>
          <w:sz w:val="24"/>
          <w:szCs w:val="20"/>
        </w:rPr>
        <w:t xml:space="preserve">二、商务要求</w:t>
      </w:r>
      <w:r/>
    </w:p>
    <w:p>
      <w:pPr>
        <w:ind w:firstLine="482"/>
        <w:jc w:val="left"/>
        <w:spacing w:line="560" w:lineRule="exact"/>
        <w:widowControl/>
        <w:rPr>
          <w:rFonts w:hint="eastAsia" w:ascii="宋体" w:hAnsi="宋体" w:eastAsia="宋体" w:cs="宋体"/>
          <w:b/>
          <w:bCs/>
          <w:sz w:val="24"/>
          <w:szCs w:val="20"/>
        </w:rPr>
        <w:outlineLvl w:val="3"/>
      </w:pPr>
      <w:r>
        <w:rPr>
          <w:rFonts w:hint="eastAsia" w:ascii="宋体" w:hAnsi="宋体" w:eastAsia="宋体" w:cs="宋体"/>
          <w:b/>
          <w:bCs/>
          <w:sz w:val="24"/>
          <w:szCs w:val="20"/>
        </w:rPr>
        <w:t xml:space="preserve">1.交付时间</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合同签订生效后，9个月内完成项目建设内容并上线试运行，试运行6个月后组织项目终验；项目终验后转入运维期，运维期2年。</w:t>
      </w:r>
      <w:r/>
    </w:p>
    <w:p>
      <w:pPr>
        <w:ind w:firstLine="482"/>
        <w:jc w:val="left"/>
        <w:spacing w:line="560" w:lineRule="exact"/>
        <w:widowControl/>
        <w:rPr>
          <w:rFonts w:hint="eastAsia" w:ascii="宋体" w:hAnsi="宋体" w:eastAsia="宋体" w:cs="宋体"/>
          <w:b/>
          <w:bCs/>
          <w:sz w:val="24"/>
          <w:szCs w:val="20"/>
        </w:rPr>
        <w:outlineLvl w:val="3"/>
      </w:pPr>
      <w:r>
        <w:rPr>
          <w:rFonts w:hint="eastAsia" w:ascii="宋体" w:hAnsi="宋体" w:eastAsia="宋体" w:cs="宋体"/>
          <w:b/>
          <w:bCs/>
          <w:sz w:val="24"/>
          <w:szCs w:val="20"/>
        </w:rPr>
        <w:t xml:space="preserve">2.交付地点 </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根据采购人需求至指定服务地点开展工作。</w:t>
      </w:r>
      <w:r/>
    </w:p>
    <w:p>
      <w:pPr>
        <w:ind w:firstLine="482"/>
        <w:jc w:val="left"/>
        <w:spacing w:line="560" w:lineRule="exact"/>
        <w:widowControl/>
        <w:rPr>
          <w:rFonts w:hint="eastAsia" w:ascii="宋体" w:hAnsi="宋体" w:eastAsia="宋体" w:cs="宋体"/>
          <w:b/>
          <w:bCs/>
          <w:sz w:val="24"/>
          <w:szCs w:val="20"/>
        </w:rPr>
        <w:outlineLvl w:val="3"/>
      </w:pPr>
      <w:r>
        <w:rPr>
          <w:rFonts w:hint="eastAsia" w:ascii="宋体" w:hAnsi="宋体" w:eastAsia="宋体" w:cs="宋体"/>
          <w:b/>
          <w:bCs/>
          <w:sz w:val="24"/>
          <w:szCs w:val="20"/>
        </w:rPr>
        <w:t xml:space="preserve">3.交付方式及说明 </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（1）项目合同签订后，甲方在收到乙方票据并确认无误后，10个工作日内支付合同总价的30%作为预付款；</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（2）项目初步验收后，甲方在收到乙方票据并确认无误后，10个工作日内，支付合同总价的20%；项目终验后，甲方在收到乙方票据并确认无误后，10个工作日内，支付合同总价的20%；</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（3）项目转入运维期，每年运维期结束，甲方在收到乙方票据并确认无误后，10个工作日内，支付合同总价的15%，持续2年。</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（申请每笔款项支付时，中标人同时向</w:t>
      </w:r>
      <w:r>
        <w:rPr>
          <w:rFonts w:hint="eastAsia" w:ascii="宋体" w:hAnsi="宋体" w:eastAsia="宋体" w:cs="宋体"/>
          <w:sz w:val="24"/>
          <w:szCs w:val="20"/>
          <w:lang w:eastAsia="zh-CN"/>
        </w:rPr>
        <w:t xml:space="preserve">采购人</w:t>
      </w:r>
      <w:r>
        <w:rPr>
          <w:rFonts w:hint="eastAsia" w:ascii="宋体" w:hAnsi="宋体" w:eastAsia="宋体" w:cs="宋体"/>
          <w:sz w:val="24"/>
          <w:szCs w:val="20"/>
        </w:rPr>
        <w:t xml:space="preserve">提供相应金额的正式发票。因为</w:t>
      </w:r>
      <w:r>
        <w:rPr>
          <w:rFonts w:hint="eastAsia" w:ascii="宋体" w:hAnsi="宋体" w:eastAsia="宋体" w:cs="宋体"/>
          <w:sz w:val="24"/>
          <w:szCs w:val="20"/>
          <w:lang w:eastAsia="zh-CN"/>
        </w:rPr>
        <w:t xml:space="preserve">投标人</w:t>
      </w:r>
      <w:r>
        <w:rPr>
          <w:rFonts w:hint="eastAsia" w:ascii="宋体" w:hAnsi="宋体" w:eastAsia="宋体" w:cs="宋体"/>
          <w:sz w:val="24"/>
          <w:szCs w:val="20"/>
        </w:rPr>
        <w:t xml:space="preserve">、财政等相关原因不能及时支付的，将延期付款，</w:t>
      </w:r>
      <w:r>
        <w:rPr>
          <w:rFonts w:hint="eastAsia" w:ascii="宋体" w:hAnsi="宋体" w:eastAsia="宋体" w:cs="宋体"/>
          <w:sz w:val="24"/>
          <w:szCs w:val="20"/>
          <w:lang w:eastAsia="zh-CN"/>
        </w:rPr>
        <w:t xml:space="preserve">采购人</w:t>
      </w:r>
      <w:r>
        <w:rPr>
          <w:rFonts w:hint="eastAsia" w:ascii="宋体" w:hAnsi="宋体" w:eastAsia="宋体" w:cs="宋体"/>
          <w:sz w:val="24"/>
          <w:szCs w:val="20"/>
        </w:rPr>
        <w:t xml:space="preserve">不承担违约责任）</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宋体" w:cs="宋体"/>
          <w:b/>
          <w:bCs/>
          <w:sz w:val="24"/>
          <w:szCs w:val="20"/>
        </w:rPr>
        <w:t xml:space="preserve">4.</w:t>
      </w:r>
      <w:r>
        <w:rPr>
          <w:rFonts w:hint="eastAsia" w:ascii="宋体" w:hAnsi="宋体" w:eastAsia="Arial" w:cs="宋体"/>
          <w:b/>
          <w:bCs/>
          <w:sz w:val="24"/>
          <w:szCs w:val="20"/>
        </w:rPr>
        <w:t xml:space="preserve">其他要求</w:t>
      </w:r>
      <w:r/>
    </w:p>
    <w:p>
      <w:pPr>
        <w:ind w:firstLine="482"/>
        <w:jc w:val="left"/>
        <w:spacing w:line="560" w:lineRule="exact"/>
        <w:widowControl/>
        <w:rPr>
          <w:rFonts w:ascii="宋体" w:hAnsi="宋体" w:eastAsia="Arial" w:cs="宋体"/>
          <w:b/>
          <w:bCs/>
          <w:i/>
          <w:iCs/>
          <w:sz w:val="24"/>
          <w:szCs w:val="20"/>
          <w:u w:val="single"/>
        </w:rPr>
      </w:pPr>
      <w:r>
        <w:rPr>
          <w:rFonts w:hint="eastAsia" w:ascii="宋体" w:hAnsi="宋体" w:eastAsia="Arial" w:cs="宋体"/>
          <w:b/>
          <w:bCs/>
          <w:i/>
          <w:iCs/>
          <w:sz w:val="24"/>
          <w:szCs w:val="20"/>
          <w:u w:val="single"/>
        </w:rPr>
        <w:t xml:space="preserve">★</w:t>
      </w:r>
      <w:r>
        <w:rPr>
          <w:rFonts w:hint="eastAsia" w:ascii="宋体" w:hAnsi="宋体" w:eastAsia="宋体" w:cs="宋体"/>
          <w:b/>
          <w:bCs/>
          <w:i/>
          <w:iCs/>
          <w:sz w:val="24"/>
          <w:szCs w:val="20"/>
          <w:u w:val="single"/>
        </w:rPr>
        <w:t xml:space="preserve">（</w:t>
      </w:r>
      <w:r>
        <w:rPr>
          <w:rFonts w:hint="eastAsia" w:ascii="宋体" w:hAnsi="宋体" w:eastAsia="Arial" w:cs="宋体"/>
          <w:b/>
          <w:bCs/>
          <w:i/>
          <w:iCs/>
          <w:sz w:val="24"/>
          <w:szCs w:val="20"/>
          <w:u w:val="single"/>
        </w:rPr>
        <w:t xml:space="preserve">1</w:t>
      </w:r>
      <w:r>
        <w:rPr>
          <w:rFonts w:hint="eastAsia" w:ascii="宋体" w:hAnsi="宋体" w:eastAsia="宋体" w:cs="宋体"/>
          <w:b/>
          <w:bCs/>
          <w:i/>
          <w:iCs/>
          <w:sz w:val="24"/>
          <w:szCs w:val="20"/>
          <w:u w:val="single"/>
        </w:rPr>
        <w:t xml:space="preserve">）所有招标要求条款</w:t>
      </w:r>
      <w:r>
        <w:rPr>
          <w:rFonts w:hint="eastAsia" w:ascii="宋体" w:hAnsi="宋体" w:eastAsia="宋体" w:cs="宋体"/>
          <w:b/>
          <w:bCs/>
          <w:i/>
          <w:iCs/>
          <w:sz w:val="24"/>
          <w:szCs w:val="20"/>
          <w:u w:val="single"/>
          <w:lang w:eastAsia="zh-CN"/>
        </w:rPr>
        <w:t xml:space="preserve">投标人</w:t>
      </w:r>
      <w:r>
        <w:rPr>
          <w:rFonts w:hint="eastAsia" w:ascii="宋体" w:hAnsi="宋体" w:eastAsia="宋体" w:cs="宋体"/>
          <w:b/>
          <w:bCs/>
          <w:i/>
          <w:iCs/>
          <w:sz w:val="24"/>
          <w:szCs w:val="20"/>
          <w:u w:val="single"/>
        </w:rPr>
        <w:t xml:space="preserve">均必须如实反映响应或偏离情况，如</w:t>
      </w:r>
      <w:r>
        <w:rPr>
          <w:rFonts w:hint="eastAsia" w:ascii="宋体" w:hAnsi="宋体" w:eastAsia="宋体" w:cs="宋体"/>
          <w:b/>
          <w:bCs/>
          <w:i/>
          <w:iCs/>
          <w:sz w:val="24"/>
          <w:szCs w:val="20"/>
          <w:u w:val="single"/>
          <w:lang w:eastAsia="zh-CN"/>
        </w:rPr>
        <w:t xml:space="preserve">投标人</w:t>
      </w:r>
      <w:r>
        <w:rPr>
          <w:rFonts w:hint="eastAsia" w:ascii="宋体" w:hAnsi="宋体" w:eastAsia="宋体" w:cs="宋体"/>
          <w:b/>
          <w:bCs/>
          <w:i/>
          <w:iCs/>
          <w:sz w:val="24"/>
          <w:szCs w:val="20"/>
          <w:u w:val="single"/>
        </w:rPr>
        <w:t xml:space="preserve">虚假响应招标文件要求，则一切后果由</w:t>
      </w:r>
      <w:r>
        <w:rPr>
          <w:rFonts w:hint="eastAsia" w:ascii="宋体" w:hAnsi="宋体" w:eastAsia="宋体" w:cs="宋体"/>
          <w:b/>
          <w:bCs/>
          <w:i/>
          <w:iCs/>
          <w:sz w:val="24"/>
          <w:szCs w:val="20"/>
          <w:u w:val="single"/>
          <w:lang w:eastAsia="zh-CN"/>
        </w:rPr>
        <w:t xml:space="preserve">投标人</w:t>
      </w:r>
      <w:r>
        <w:rPr>
          <w:rFonts w:hint="eastAsia" w:ascii="宋体" w:hAnsi="宋体" w:eastAsia="宋体" w:cs="宋体"/>
          <w:b/>
          <w:bCs/>
          <w:i/>
          <w:iCs/>
          <w:sz w:val="24"/>
          <w:szCs w:val="20"/>
          <w:u w:val="single"/>
        </w:rPr>
        <w:t xml:space="preserve">自行承担。</w:t>
      </w:r>
      <w:r>
        <w:rPr>
          <w:rFonts w:hint="eastAsia" w:ascii="宋体" w:hAnsi="宋体" w:eastAsia="宋体" w:cs="宋体"/>
          <w:b/>
          <w:bCs/>
          <w:i/>
          <w:iCs/>
          <w:sz w:val="24"/>
          <w:szCs w:val="20"/>
          <w:u w:val="single"/>
          <w:lang w:eastAsia="zh-CN"/>
        </w:rPr>
        <w:t xml:space="preserve">采购人</w:t>
      </w:r>
      <w:r>
        <w:rPr>
          <w:rFonts w:hint="eastAsia" w:ascii="宋体" w:hAnsi="宋体" w:eastAsia="宋体" w:cs="宋体"/>
          <w:b/>
          <w:bCs/>
          <w:i/>
          <w:iCs/>
          <w:sz w:val="24"/>
          <w:szCs w:val="20"/>
          <w:u w:val="single"/>
        </w:rPr>
        <w:t xml:space="preserve">保留追究法律责任的权利。（投标人须出具承诺函，</w:t>
      </w:r>
      <w:r>
        <w:rPr>
          <w:rFonts w:hint="eastAsia" w:ascii="宋体" w:hAnsi="宋体" w:eastAsia="宋体" w:cs="宋体"/>
          <w:b/>
          <w:bCs/>
          <w:i/>
          <w:iCs/>
          <w:sz w:val="24"/>
          <w:szCs w:val="20"/>
          <w:u w:val="single"/>
          <w:lang w:val="en-US" w:eastAsia="zh-CN"/>
        </w:rPr>
        <w:t xml:space="preserve">承诺函自制</w:t>
      </w:r>
      <w:r>
        <w:rPr>
          <w:rFonts w:hint="eastAsia" w:ascii="宋体" w:hAnsi="宋体" w:eastAsia="宋体" w:cs="宋体"/>
          <w:b/>
          <w:bCs/>
          <w:i/>
          <w:iCs/>
          <w:sz w:val="24"/>
          <w:szCs w:val="20"/>
          <w:u w:val="single"/>
          <w:lang w:eastAsia="zh-CN"/>
        </w:rPr>
        <w:t xml:space="preserve">，</w:t>
      </w:r>
      <w:r>
        <w:rPr>
          <w:rFonts w:hint="eastAsia" w:ascii="宋体" w:hAnsi="宋体" w:eastAsia="宋体" w:cs="宋体"/>
          <w:b/>
          <w:bCs/>
          <w:i/>
          <w:iCs/>
          <w:sz w:val="24"/>
          <w:szCs w:val="20"/>
          <w:u w:val="single"/>
        </w:rPr>
        <w:t xml:space="preserve">并加盖投标人公章）</w:t>
      </w:r>
      <w:r/>
    </w:p>
    <w:p>
      <w:pPr>
        <w:ind w:firstLine="482"/>
        <w:jc w:val="left"/>
        <w:spacing w:line="560" w:lineRule="exact"/>
        <w:widowControl/>
        <w:rPr>
          <w:rFonts w:ascii="宋体" w:hAnsi="宋体" w:eastAsia="Arial" w:cs="宋体"/>
          <w:b/>
          <w:bCs/>
          <w:i/>
          <w:iCs/>
          <w:sz w:val="24"/>
          <w:szCs w:val="20"/>
          <w:u w:val="single"/>
        </w:rPr>
      </w:pPr>
      <w:r>
        <w:rPr>
          <w:rFonts w:hint="eastAsia" w:ascii="宋体" w:hAnsi="宋体" w:eastAsia="Arial" w:cs="宋体"/>
          <w:b/>
          <w:bCs/>
          <w:i/>
          <w:iCs/>
          <w:sz w:val="24"/>
          <w:szCs w:val="20"/>
          <w:u w:val="single"/>
        </w:rPr>
        <w:t xml:space="preserve">★</w:t>
      </w:r>
      <w:r>
        <w:rPr>
          <w:rFonts w:hint="eastAsia" w:ascii="宋体" w:hAnsi="宋体" w:eastAsia="宋体" w:cs="宋体"/>
          <w:b/>
          <w:bCs/>
          <w:i/>
          <w:iCs/>
          <w:sz w:val="24"/>
          <w:szCs w:val="20"/>
          <w:u w:val="single"/>
        </w:rPr>
        <w:t xml:space="preserve">（</w:t>
      </w:r>
      <w:r>
        <w:rPr>
          <w:rFonts w:hint="eastAsia" w:ascii="宋体" w:hAnsi="宋体" w:eastAsia="Arial" w:cs="宋体"/>
          <w:b/>
          <w:bCs/>
          <w:i/>
          <w:iCs/>
          <w:sz w:val="24"/>
          <w:szCs w:val="20"/>
          <w:u w:val="single"/>
        </w:rPr>
        <w:t xml:space="preserve">2</w:t>
      </w:r>
      <w:r>
        <w:rPr>
          <w:rFonts w:hint="eastAsia" w:ascii="宋体" w:hAnsi="宋体" w:eastAsia="宋体" w:cs="宋体"/>
          <w:b/>
          <w:bCs/>
          <w:i/>
          <w:iCs/>
          <w:sz w:val="24"/>
          <w:szCs w:val="20"/>
          <w:u w:val="single"/>
        </w:rPr>
        <w:t xml:space="preserve">）</w:t>
      </w:r>
      <w:r>
        <w:rPr>
          <w:rFonts w:hint="eastAsia" w:ascii="宋体" w:hAnsi="宋体" w:eastAsia="宋体" w:cs="宋体"/>
          <w:b/>
          <w:bCs/>
          <w:i/>
          <w:iCs/>
          <w:sz w:val="24"/>
          <w:szCs w:val="20"/>
          <w:u w:val="single"/>
          <w:lang w:eastAsia="zh-CN"/>
        </w:rPr>
        <w:t xml:space="preserve">投标人</w:t>
      </w:r>
      <w:r>
        <w:rPr>
          <w:rFonts w:hint="eastAsia" w:ascii="宋体" w:hAnsi="宋体" w:eastAsia="宋体" w:cs="宋体"/>
          <w:b/>
          <w:bCs/>
          <w:i/>
          <w:iCs/>
          <w:sz w:val="24"/>
          <w:szCs w:val="20"/>
          <w:u w:val="single"/>
        </w:rPr>
        <w:t xml:space="preserve">需在投标之前充分调研盐城市现有公共数据平台及相关关联系统现状，所投的报价含系统开发、调试、对接、第三方数据及服务购买、运维、培训、服务费、税金及质保期内的后续服务一切费用，即甲方不再另行支付其他费用。（投标人须出具承诺函，</w:t>
      </w:r>
      <w:r>
        <w:rPr>
          <w:rFonts w:hint="eastAsia" w:ascii="宋体" w:hAnsi="宋体" w:eastAsia="宋体" w:cs="宋体"/>
          <w:b/>
          <w:bCs/>
          <w:i/>
          <w:iCs/>
          <w:sz w:val="24"/>
          <w:szCs w:val="20"/>
          <w:u w:val="single"/>
          <w:lang w:val="en-US" w:eastAsia="zh-CN"/>
        </w:rPr>
        <w:t xml:space="preserve">承诺函自制</w:t>
      </w:r>
      <w:r>
        <w:rPr>
          <w:rFonts w:hint="eastAsia" w:ascii="宋体" w:hAnsi="宋体" w:eastAsia="宋体" w:cs="宋体"/>
          <w:b/>
          <w:bCs/>
          <w:i/>
          <w:iCs/>
          <w:sz w:val="24"/>
          <w:szCs w:val="20"/>
          <w:u w:val="single"/>
          <w:lang w:eastAsia="zh-CN"/>
        </w:rPr>
        <w:t xml:space="preserve">，</w:t>
      </w:r>
      <w:r>
        <w:rPr>
          <w:rFonts w:hint="eastAsia" w:ascii="宋体" w:hAnsi="宋体" w:eastAsia="宋体" w:cs="宋体"/>
          <w:b/>
          <w:bCs/>
          <w:i/>
          <w:iCs/>
          <w:sz w:val="24"/>
          <w:szCs w:val="20"/>
          <w:u w:val="single"/>
        </w:rPr>
        <w:t xml:space="preserve">并加盖投标人公章）</w:t>
      </w:r>
      <w:r/>
    </w:p>
    <w:p>
      <w:pPr>
        <w:ind w:firstLine="482"/>
        <w:jc w:val="left"/>
        <w:spacing w:line="560" w:lineRule="exact"/>
        <w:widowControl/>
        <w:rPr>
          <w:rFonts w:ascii="宋体" w:hAnsi="宋体" w:eastAsia="Arial" w:cs="宋体"/>
          <w:b/>
          <w:bCs/>
          <w:i/>
          <w:iCs/>
          <w:sz w:val="24"/>
          <w:szCs w:val="20"/>
          <w:u w:val="single"/>
        </w:rPr>
      </w:pPr>
      <w:r>
        <w:rPr>
          <w:rFonts w:hint="eastAsia" w:ascii="宋体" w:hAnsi="宋体" w:eastAsia="Arial" w:cs="宋体"/>
          <w:b/>
          <w:bCs/>
          <w:i/>
          <w:iCs/>
          <w:sz w:val="24"/>
          <w:szCs w:val="20"/>
          <w:u w:val="single"/>
        </w:rPr>
        <w:t xml:space="preserve">★</w:t>
      </w:r>
      <w:r>
        <w:rPr>
          <w:rFonts w:hint="eastAsia" w:ascii="宋体" w:hAnsi="宋体" w:eastAsia="宋体" w:cs="宋体"/>
          <w:b/>
          <w:bCs/>
          <w:i/>
          <w:iCs/>
          <w:sz w:val="24"/>
          <w:szCs w:val="20"/>
          <w:u w:val="single"/>
        </w:rPr>
        <w:t xml:space="preserve">（</w:t>
      </w:r>
      <w:r>
        <w:rPr>
          <w:rFonts w:hint="eastAsia" w:ascii="宋体" w:hAnsi="宋体" w:eastAsia="Arial" w:cs="宋体"/>
          <w:b/>
          <w:bCs/>
          <w:i/>
          <w:iCs/>
          <w:sz w:val="24"/>
          <w:szCs w:val="20"/>
          <w:u w:val="single"/>
        </w:rPr>
        <w:t xml:space="preserve">3</w:t>
      </w:r>
      <w:r>
        <w:rPr>
          <w:rFonts w:hint="eastAsia" w:ascii="宋体" w:hAnsi="宋体" w:eastAsia="宋体" w:cs="宋体"/>
          <w:b/>
          <w:bCs/>
          <w:i/>
          <w:iCs/>
          <w:sz w:val="24"/>
          <w:szCs w:val="20"/>
          <w:u w:val="single"/>
        </w:rPr>
        <w:t xml:space="preserve">）本项目建成后，需按需为市直部门及各县区开通多租户服务，</w:t>
      </w:r>
      <w:r>
        <w:rPr>
          <w:rFonts w:hint="eastAsia" w:ascii="宋体" w:hAnsi="宋体" w:eastAsia="宋体" w:cs="宋体"/>
          <w:b/>
          <w:bCs/>
          <w:i/>
          <w:iCs/>
          <w:sz w:val="24"/>
          <w:szCs w:val="20"/>
          <w:u w:val="single"/>
          <w:lang w:eastAsia="zh-CN"/>
        </w:rPr>
        <w:t xml:space="preserve">投标人</w:t>
      </w:r>
      <w:r>
        <w:rPr>
          <w:rFonts w:hint="eastAsia" w:ascii="宋体" w:hAnsi="宋体" w:eastAsia="宋体" w:cs="宋体"/>
          <w:b/>
          <w:bCs/>
          <w:i/>
          <w:iCs/>
          <w:sz w:val="24"/>
          <w:szCs w:val="20"/>
          <w:u w:val="single"/>
        </w:rPr>
        <w:t xml:space="preserve">需承诺完成已有系统模块多租户改造，新建系统模块免费提供多租户服务，提供多租户服务的系统模块包括但不限于数据集成、数据规划、数据标准、数据建模、元数据管理、数据质量管理、数据资产、数据开发、指标计算等系统模块，且租户数量不限制授权</w:t>
      </w:r>
      <w:r>
        <w:rPr>
          <w:rFonts w:hint="eastAsia" w:ascii="宋体" w:hAnsi="宋体" w:eastAsia="宋体" w:cs="宋体"/>
          <w:b/>
          <w:bCs/>
          <w:i/>
          <w:iCs/>
          <w:sz w:val="24"/>
          <w:szCs w:val="20"/>
          <w:u w:val="single"/>
          <w:lang w:eastAsia="zh-CN"/>
        </w:rPr>
        <w:t xml:space="preserve">数量</w:t>
      </w:r>
      <w:r>
        <w:rPr>
          <w:rFonts w:hint="eastAsia" w:ascii="宋体" w:hAnsi="宋体" w:eastAsia="宋体" w:cs="宋体"/>
          <w:b/>
          <w:bCs/>
          <w:i/>
          <w:iCs/>
          <w:sz w:val="24"/>
          <w:szCs w:val="20"/>
          <w:u w:val="single"/>
        </w:rPr>
        <w:t xml:space="preserve">，并承诺提供平台使用免费培训。（投标人须出具承诺函，</w:t>
      </w:r>
      <w:r>
        <w:rPr>
          <w:rFonts w:hint="eastAsia" w:ascii="宋体" w:hAnsi="宋体" w:eastAsia="宋体" w:cs="宋体"/>
          <w:b/>
          <w:bCs/>
          <w:i/>
          <w:iCs/>
          <w:sz w:val="24"/>
          <w:szCs w:val="20"/>
          <w:u w:val="single"/>
          <w:lang w:val="en-US" w:eastAsia="zh-CN"/>
        </w:rPr>
        <w:t xml:space="preserve">承诺函自制</w:t>
      </w:r>
      <w:r>
        <w:rPr>
          <w:rFonts w:hint="eastAsia" w:ascii="宋体" w:hAnsi="宋体" w:eastAsia="宋体" w:cs="宋体"/>
          <w:b/>
          <w:bCs/>
          <w:i/>
          <w:iCs/>
          <w:sz w:val="24"/>
          <w:szCs w:val="20"/>
          <w:u w:val="single"/>
          <w:lang w:eastAsia="zh-CN"/>
        </w:rPr>
        <w:t xml:space="preserve">，</w:t>
      </w:r>
      <w:r>
        <w:rPr>
          <w:rFonts w:hint="eastAsia" w:ascii="宋体" w:hAnsi="宋体" w:eastAsia="宋体" w:cs="宋体"/>
          <w:b/>
          <w:bCs/>
          <w:i/>
          <w:iCs/>
          <w:sz w:val="24"/>
          <w:szCs w:val="20"/>
          <w:u w:val="single"/>
        </w:rPr>
        <w:t xml:space="preserve">并加盖投标人公章）</w:t>
      </w:r>
      <w:r/>
    </w:p>
    <w:p>
      <w:pPr>
        <w:ind w:firstLine="482"/>
        <w:jc w:val="left"/>
        <w:spacing w:line="560" w:lineRule="exact"/>
        <w:widowControl/>
        <w:rPr>
          <w:rFonts w:ascii="宋体" w:hAnsi="宋体" w:eastAsia="Arial" w:cs="宋体"/>
          <w:b/>
          <w:bCs/>
          <w:i/>
          <w:sz w:val="24"/>
          <w:szCs w:val="20"/>
          <w:u w:val="single"/>
        </w:rPr>
      </w:pPr>
      <w:r>
        <w:rPr>
          <w:rFonts w:hint="eastAsia" w:ascii="宋体" w:hAnsi="宋体" w:eastAsia="Arial" w:cs="宋体"/>
          <w:b/>
          <w:bCs/>
          <w:i/>
          <w:iCs/>
          <w:sz w:val="24"/>
          <w:szCs w:val="20"/>
          <w:u w:val="single"/>
        </w:rPr>
        <w:t xml:space="preserve">注：本项目招标文件中标注★为实质性要求，不允许负偏离，否则为无效投标。</w:t>
      </w:r>
      <w:r/>
    </w:p>
    <w:p>
      <w:pPr>
        <w:ind w:firstLine="482"/>
        <w:jc w:val="left"/>
        <w:spacing w:line="560" w:lineRule="exact"/>
        <w:widowControl/>
        <w:rPr>
          <w:rFonts w:hint="eastAsia" w:ascii="宋体" w:hAnsi="宋体" w:eastAsia="宋体" w:cs="宋体"/>
          <w:b/>
          <w:bCs/>
          <w:sz w:val="24"/>
          <w:szCs w:val="20"/>
        </w:rPr>
        <w:outlineLvl w:val="2"/>
      </w:pPr>
      <w:r/>
      <w:bookmarkStart w:id="130" w:name="_Toc203060317"/>
      <w:r>
        <w:rPr>
          <w:rFonts w:hint="eastAsia" w:ascii="宋体" w:hAnsi="宋体" w:eastAsia="宋体" w:cs="宋体"/>
          <w:b/>
          <w:bCs/>
          <w:sz w:val="24"/>
          <w:szCs w:val="20"/>
        </w:rPr>
        <w:t xml:space="preserve">三、技术方案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投标人应根据采购需求和本项目实际，制订相应的方案至少包含以下内容：</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（一）现状及需求分析</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现状及需求分析方案</w:t>
      </w:r>
      <w:r>
        <w:rPr>
          <w:rFonts w:hint="eastAsia" w:ascii="宋体" w:hAnsi="宋体" w:eastAsia="宋体" w:cs="宋体"/>
          <w:sz w:val="24"/>
          <w:szCs w:val="20"/>
        </w:rPr>
        <w:t xml:space="preserve">至少包含以下内容</w:t>
      </w:r>
      <w:r>
        <w:rPr>
          <w:rFonts w:hint="eastAsia" w:ascii="宋体" w:hAnsi="宋体" w:eastAsia="宋体" w:cs="宋体"/>
          <w:sz w:val="24"/>
          <w:szCs w:val="20"/>
          <w:lang w:eastAsia="zh-CN"/>
        </w:rPr>
        <w:t xml:space="preserve">：</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1.建设背景：需充分结合本项目建设的社会背景、国省要求详细阐述本项目的建设背景，明确本项目建设的必要性和意义。</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2.相关政策分析：需梳理国家、省、市关于公共数据平台建设、公共数据开发利用建设的相关政策文件，明确政策对项目建设的具体要求。</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3.现状及问题分析：全面梳理分析现有平台的系统建设现状和数据资源现状，并分别从与政策要求的适配性、平台功能与实际使用需求差距、数据资源体系建设的规范性等方面存在的问题进行深入阐述，保证现状理解准确。</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4.需求分析：需从市县两级数据提供部门、数据使用部门、数据管理部门等不同层面，全面梳理各主体的用户需求，清</w:t>
      </w:r>
      <w:r>
        <w:rPr>
          <w:rFonts w:hint="eastAsia" w:asciiTheme="minorEastAsia" w:hAnsiTheme="minorEastAsia" w:cstheme="minorEastAsia"/>
          <w:sz w:val="24"/>
          <w:szCs w:val="20"/>
          <w:lang w:eastAsia="zh-CN"/>
        </w:rPr>
        <w:t xml:space="preserve">晰地</w:t>
      </w:r>
      <w:r>
        <w:rPr>
          <w:rFonts w:hint="eastAsia" w:asciiTheme="minorEastAsia" w:hAnsiTheme="minorEastAsia" w:cstheme="minorEastAsia"/>
          <w:sz w:val="24"/>
          <w:szCs w:val="20"/>
        </w:rPr>
        <w:t xml:space="preserve">阐述本项目建设的用户需求、功能需求、性能需求、安全需求、服务需求。</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（二）总体设计方案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总体设计方案</w:t>
      </w:r>
      <w:r>
        <w:rPr>
          <w:rFonts w:hint="eastAsia" w:ascii="宋体" w:hAnsi="宋体" w:eastAsia="宋体" w:cs="宋体"/>
          <w:sz w:val="24"/>
          <w:szCs w:val="20"/>
        </w:rPr>
        <w:t xml:space="preserve">至少包含以下内容</w:t>
      </w:r>
      <w:r>
        <w:rPr>
          <w:rFonts w:hint="eastAsia" w:ascii="宋体" w:hAnsi="宋体" w:eastAsia="宋体" w:cs="宋体"/>
          <w:sz w:val="24"/>
          <w:szCs w:val="20"/>
          <w:lang w:eastAsia="zh-CN"/>
        </w:rPr>
        <w:t xml:space="preserve">：</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1．设计原则：需遵循技术标准的规范性、采用技术的安全性、系统的可扩展性、平台的易操作性等原则。</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总体架构：需统筹规划、集约建设，整体构建本项目的总体框架，包含基础设施层、技术支撑层、数据资源层、数据业务层、数据服务层、数据用户层的主要建设内容。提供本期项目市县一体化设计思路，包括整合思路、贯通思路、纳管思路，明确与省级“苏政源”底座（含省一体化数字资源服务平台、省级公共数据平台、省数字资源“一本账”系统）、市级湖仓一体平台、市级授权运营平台的关系。</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3．数据架构：提供数据源、接入区、贴源区、标准区、数仓区、应用层等数据分层的合理规划和规范存储，明确各分层组成及作用。</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4．技术架构：提供整体技术架构设计，并明确国产化技术路线选型及平台技术路线设计，满足系统各种应用系统建设的需求，与市政务云国产化环境适配等其他相关的管理需求。</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5．网络架构：需充分了解现有网络架构，结合项目各个子系统具体功能应用建设需求，设计本项目网络架构，确保网络设计合理规范、安全高效。</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（三）详细设计方案</w:t>
      </w:r>
      <w:r/>
    </w:p>
    <w:p>
      <w:pPr>
        <w:ind w:firstLine="482"/>
        <w:jc w:val="left"/>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详细设计方案至少包含以下内容:</w:t>
      </w:r>
      <w:r/>
    </w:p>
    <w:p>
      <w:pPr>
        <w:ind w:firstLine="482"/>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1．针对新建数字资源“一本账”管理系统，建设要求包括“一本账”</w:t>
      </w:r>
      <w:r>
        <w:rPr>
          <w:rFonts w:hint="eastAsia" w:asciiTheme="minorEastAsia" w:hAnsiTheme="minorEastAsia" w:cstheme="minorEastAsia"/>
          <w:sz w:val="24"/>
        </w:rPr>
        <w:t xml:space="preserve">首页、业务办理、清单管理、指标管理、运营管理、智能服务、“一本账”驾驶舱、“一本账”移动端、“一本账”数据对接、相关系统对接</w:t>
      </w:r>
      <w:r>
        <w:rPr>
          <w:rFonts w:hint="eastAsia" w:asciiTheme="minorEastAsia" w:hAnsiTheme="minorEastAsia" w:cstheme="minorEastAsia"/>
          <w:sz w:val="24"/>
          <w:szCs w:val="20"/>
        </w:rPr>
        <w:t xml:space="preserve">等功能模块</w:t>
      </w:r>
      <w:r>
        <w:rPr>
          <w:rFonts w:hint="eastAsia" w:asciiTheme="minorEastAsia" w:hAnsiTheme="minorEastAsia" w:cstheme="minorEastAsia"/>
          <w:sz w:val="24"/>
        </w:rPr>
        <w:t xml:space="preserve">（具体需求请查阅“技术要求-建设内容”章节）</w:t>
      </w:r>
      <w:r>
        <w:rPr>
          <w:rFonts w:hint="eastAsia" w:asciiTheme="minorEastAsia" w:hAnsiTheme="minorEastAsia" w:cstheme="minorEastAsia"/>
          <w:sz w:val="24"/>
          <w:szCs w:val="20"/>
        </w:rPr>
        <w:t xml:space="preserve">。方案应结构清晰，内容科学合理，具有前瞻性。</w:t>
      </w:r>
      <w:r/>
    </w:p>
    <w:p>
      <w:pPr>
        <w:ind w:firstLine="482"/>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2．针对</w:t>
      </w:r>
      <w:r>
        <w:rPr>
          <w:rFonts w:hint="eastAsia" w:asciiTheme="minorEastAsia" w:hAnsiTheme="minorEastAsia" w:cstheme="minorEastAsia"/>
          <w:sz w:val="24"/>
        </w:rPr>
        <w:t xml:space="preserve">公共数据平台优化升级，建设要求包括升级数据目录模块、新建数据规划模块、升级数据标准模块、升级数据建模模块、新建数据开发模块、升级供需对接模块、新建异议处理模块、新建主专题库管理模块、新建数据专区管理模块、新建数据微场景开发模块、新建应用创新推广模块、升级用户管理模块、升级运行管理模块、升级公共数据开放网站、与相关系统对接等功能模块（具体需求请查阅“技术要求-建设内容”章节）</w:t>
      </w:r>
      <w:r>
        <w:rPr>
          <w:rFonts w:hint="eastAsia" w:asciiTheme="minorEastAsia" w:hAnsiTheme="minorEastAsia" w:cstheme="minorEastAsia"/>
          <w:sz w:val="24"/>
          <w:szCs w:val="20"/>
        </w:rPr>
        <w:t xml:space="preserve">。方案应结构清晰，内容科学合理，具有前瞻性。</w:t>
      </w:r>
      <w:r/>
    </w:p>
    <w:p>
      <w:pPr>
        <w:ind w:firstLine="482"/>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3．针对系统国产化改造，应提供详细的现状分析、风险及应对措施分析以及国产化适配（分别详细描述国产芯片架构和操作系统、数据库、中间件、浏览器等国产化适配的服务目标、服务范围、服务内容）、整体适配验证（应包括基础硬件、操作系统、数据库、应用系统、服务调用等适配验证）、存量历史数据迁移、业务应用割接（应包括割接评估、割接准备、割接操作、回退机制、应急预案、割接后验证、验证观察期等服务）、系统上线（应包括用户培训、并轨运行、应急保障、老平台停服、服务切换、新平台正式上线等）等服务内容</w:t>
      </w:r>
      <w:r>
        <w:rPr>
          <w:rFonts w:hint="eastAsia" w:asciiTheme="minorEastAsia" w:hAnsiTheme="minorEastAsia" w:cstheme="minorEastAsia"/>
          <w:sz w:val="24"/>
        </w:rPr>
        <w:t xml:space="preserve">（具体要求请查阅“技术要求-建设内容”章节）</w:t>
      </w:r>
      <w:r>
        <w:rPr>
          <w:rFonts w:hint="eastAsia" w:asciiTheme="minorEastAsia" w:hAnsiTheme="minorEastAsia" w:cstheme="minorEastAsia"/>
          <w:sz w:val="24"/>
          <w:szCs w:val="20"/>
        </w:rPr>
        <w:t xml:space="preserve">。方案应结构清晰，内容科学合理，具有前瞻性。</w:t>
      </w:r>
      <w:r/>
    </w:p>
    <w:p>
      <w:pPr>
        <w:ind w:firstLine="482"/>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4．针对数据清查治理服务，服务要求包括清查治理服务、数据目录治理服务、部门原始库治理、中心标准库治理、基础库治理、主、专题库建设</w:t>
      </w:r>
      <w:r>
        <w:rPr>
          <w:rFonts w:hint="eastAsia" w:asciiTheme="minorEastAsia" w:hAnsiTheme="minorEastAsia" w:cstheme="minorEastAsia"/>
          <w:sz w:val="24"/>
        </w:rPr>
        <w:t xml:space="preserve">（具体需求请查阅“技术要求-建设内容”章节）</w:t>
      </w:r>
      <w:r>
        <w:rPr>
          <w:rFonts w:hint="eastAsia" w:asciiTheme="minorEastAsia" w:hAnsiTheme="minorEastAsia" w:cstheme="minorEastAsia"/>
          <w:sz w:val="24"/>
          <w:szCs w:val="20"/>
        </w:rPr>
        <w:t xml:space="preserve">。方案应结构清晰，内容科学合理，具有前瞻性。</w:t>
      </w:r>
      <w:r/>
    </w:p>
    <w:p>
      <w:pPr>
        <w:ind w:firstLine="482"/>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5．针对数据微场景开发，应提供场景需求征集梳理、场景数据规划准备、场景数据治理、场景数据开发、场景数据服务封装等服务</w:t>
      </w:r>
      <w:r>
        <w:rPr>
          <w:rFonts w:hint="eastAsia" w:asciiTheme="minorEastAsia" w:hAnsiTheme="minorEastAsia" w:cstheme="minorEastAsia"/>
          <w:sz w:val="24"/>
        </w:rPr>
        <w:t xml:space="preserve">（具体需求请查阅“技术要求-建设内容”章节）</w:t>
      </w:r>
      <w:r>
        <w:rPr>
          <w:rFonts w:hint="eastAsia" w:asciiTheme="minorEastAsia" w:hAnsiTheme="minorEastAsia" w:cstheme="minorEastAsia"/>
          <w:sz w:val="24"/>
          <w:szCs w:val="20"/>
        </w:rPr>
        <w:t xml:space="preserve">。方案应结构清晰，内容科学合理，具有前瞻性。</w:t>
      </w:r>
      <w:r/>
    </w:p>
    <w:p>
      <w:pPr>
        <w:ind w:firstLine="482"/>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6．针对综合治税共享交换通道迁移，建设内容要求包括</w:t>
      </w:r>
      <w:r>
        <w:rPr>
          <w:rFonts w:hint="eastAsia" w:asciiTheme="minorEastAsia" w:hAnsiTheme="minorEastAsia" w:cstheme="minorEastAsia"/>
          <w:sz w:val="24"/>
        </w:rPr>
        <w:t xml:space="preserve">清单采集工具、综合治税管理系统、综合治税主题库建设（具体需求请查阅“技术要求-建设内容”章节）</w:t>
      </w:r>
      <w:r>
        <w:rPr>
          <w:rFonts w:hint="eastAsia" w:asciiTheme="minorEastAsia" w:hAnsiTheme="minorEastAsia" w:cstheme="minorEastAsia"/>
          <w:sz w:val="24"/>
          <w:szCs w:val="20"/>
        </w:rPr>
        <w:t xml:space="preserve">。方案应结构清晰，内容科学合理，具有前瞻性。</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（四）项目实施方案</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项目实施方案至少包含以下内容:</w:t>
      </w:r>
      <w:r/>
    </w:p>
    <w:p>
      <w:pPr>
        <w:ind w:firstLine="482"/>
        <w:jc w:val="left"/>
        <w:spacing w:line="560" w:lineRule="exact"/>
        <w:widowControl/>
        <w:rPr>
          <w:rFonts w:ascii="宋体" w:hAnsi="宋体" w:eastAsia="Arial" w:cs="宋体"/>
          <w:b/>
          <w:bCs/>
          <w:sz w:val="24"/>
          <w:szCs w:val="20"/>
        </w:rPr>
        <w:outlineLvl w:val="4"/>
      </w:pPr>
      <w:r>
        <w:rPr>
          <w:rFonts w:hint="eastAsia" w:ascii="宋体" w:hAnsi="宋体" w:cs="宋体"/>
          <w:b/>
          <w:bCs/>
          <w:sz w:val="24"/>
          <w:szCs w:val="20"/>
        </w:rPr>
        <w:t xml:space="preserve">1</w:t>
      </w:r>
      <w:r>
        <w:rPr>
          <w:rFonts w:hint="eastAsia" w:ascii="宋体" w:hAnsi="宋体" w:eastAsia="Arial" w:cs="宋体"/>
          <w:b/>
          <w:bCs/>
          <w:sz w:val="24"/>
          <w:szCs w:val="20"/>
        </w:rPr>
        <w:t xml:space="preserve">.</w:t>
      </w:r>
      <w:r>
        <w:rPr>
          <w:rFonts w:hint="eastAsia" w:ascii="宋体" w:hAnsi="宋体" w:eastAsia="宋体" w:cs="宋体"/>
          <w:b/>
          <w:bCs/>
          <w:sz w:val="24"/>
          <w:szCs w:val="20"/>
        </w:rPr>
        <w:t xml:space="preserve">项目组织及人员保障</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为了确保按期完成建设和服务内容，</w:t>
      </w:r>
      <w:r>
        <w:rPr>
          <w:rFonts w:hint="eastAsia" w:ascii="宋体" w:hAnsi="宋体" w:eastAsia="宋体" w:cs="宋体"/>
          <w:sz w:val="24"/>
          <w:szCs w:val="20"/>
          <w:lang w:eastAsia="zh-CN"/>
        </w:rPr>
        <w:t xml:space="preserve">投标人</w:t>
      </w:r>
      <w:r>
        <w:rPr>
          <w:rFonts w:hint="eastAsia" w:ascii="宋体" w:hAnsi="宋体" w:eastAsia="宋体" w:cs="宋体"/>
          <w:sz w:val="24"/>
          <w:szCs w:val="20"/>
        </w:rPr>
        <w:t xml:space="preserve">在项目实施过程中，项目实施负责人必须参加由</w:t>
      </w:r>
      <w:r>
        <w:rPr>
          <w:rFonts w:hint="eastAsia" w:ascii="宋体" w:hAnsi="宋体" w:eastAsia="宋体" w:cs="宋体"/>
          <w:sz w:val="24"/>
          <w:szCs w:val="20"/>
          <w:lang w:eastAsia="zh-CN"/>
        </w:rPr>
        <w:t xml:space="preserve">采购人</w:t>
      </w:r>
      <w:r>
        <w:rPr>
          <w:rFonts w:hint="eastAsia" w:ascii="宋体" w:hAnsi="宋体" w:eastAsia="宋体" w:cs="宋体"/>
          <w:sz w:val="24"/>
          <w:szCs w:val="20"/>
        </w:rPr>
        <w:t xml:space="preserve">召开的项目推进会，每月向</w:t>
      </w:r>
      <w:r>
        <w:rPr>
          <w:rFonts w:hint="eastAsia" w:ascii="宋体" w:hAnsi="宋体" w:eastAsia="宋体" w:cs="宋体"/>
          <w:sz w:val="24"/>
          <w:szCs w:val="20"/>
          <w:lang w:eastAsia="zh-CN"/>
        </w:rPr>
        <w:t xml:space="preserve">采购人</w:t>
      </w:r>
      <w:r>
        <w:rPr>
          <w:rFonts w:hint="eastAsia" w:ascii="宋体" w:hAnsi="宋体" w:eastAsia="宋体" w:cs="宋体"/>
          <w:sz w:val="24"/>
          <w:szCs w:val="20"/>
        </w:rPr>
        <w:t xml:space="preserve">汇报工作进度、问题及下阶段工作计划，确保按时完成项目工作。项目实施期间，投标人变更项目经理必须经</w:t>
      </w:r>
      <w:r>
        <w:rPr>
          <w:rFonts w:hint="eastAsia" w:ascii="宋体" w:hAnsi="宋体" w:eastAsia="宋体" w:cs="宋体"/>
          <w:sz w:val="24"/>
          <w:szCs w:val="20"/>
          <w:lang w:eastAsia="zh-CN"/>
        </w:rPr>
        <w:t xml:space="preserve">采购人</w:t>
      </w:r>
      <w:r>
        <w:rPr>
          <w:rFonts w:hint="eastAsia" w:ascii="宋体" w:hAnsi="宋体" w:eastAsia="宋体" w:cs="宋体"/>
          <w:sz w:val="24"/>
          <w:szCs w:val="20"/>
        </w:rPr>
        <w:t xml:space="preserve">同意。建设期内，项目实施成员不少于15人，并且配备常驻实施成员10人，人员必须具备与本项目规模相适应的技能、项目经验和沟通能力。运维期内，配备驻场数据治理运营人员3人，驻场人员必须具备与本项目规模相适应的技能、项目经验和沟通能力，并且为专职驻场人员，不得兼任其他项目，项目结束前人员不得更换或者中途退出，如有特殊原因需要更换，必须得到</w:t>
      </w:r>
      <w:r>
        <w:rPr>
          <w:rFonts w:hint="eastAsia" w:ascii="宋体" w:hAnsi="宋体" w:eastAsia="宋体" w:cs="宋体"/>
          <w:sz w:val="24"/>
          <w:szCs w:val="20"/>
          <w:lang w:eastAsia="zh-CN"/>
        </w:rPr>
        <w:t xml:space="preserve">采购人</w:t>
      </w:r>
      <w:r>
        <w:rPr>
          <w:rFonts w:hint="eastAsia" w:ascii="宋体" w:hAnsi="宋体" w:eastAsia="宋体" w:cs="宋体"/>
          <w:sz w:val="24"/>
          <w:szCs w:val="20"/>
        </w:rPr>
        <w:t xml:space="preserve">同意。</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在系统建设、运维期间以及项目结束后，</w:t>
      </w:r>
      <w:r>
        <w:rPr>
          <w:rFonts w:hint="eastAsia" w:ascii="宋体" w:hAnsi="宋体" w:eastAsia="宋体" w:cs="宋体"/>
          <w:sz w:val="24"/>
          <w:szCs w:val="20"/>
          <w:lang w:eastAsia="zh-CN"/>
        </w:rPr>
        <w:t xml:space="preserve">投标人</w:t>
      </w:r>
      <w:r>
        <w:rPr>
          <w:rFonts w:hint="eastAsia" w:ascii="宋体" w:hAnsi="宋体" w:eastAsia="宋体" w:cs="宋体"/>
          <w:sz w:val="24"/>
          <w:szCs w:val="20"/>
        </w:rPr>
        <w:t xml:space="preserve">必须严守保密规定，未经同意，不得将</w:t>
      </w:r>
      <w:r>
        <w:rPr>
          <w:rFonts w:hint="eastAsia" w:ascii="宋体" w:hAnsi="宋体" w:eastAsia="宋体" w:cs="宋体"/>
          <w:sz w:val="24"/>
          <w:szCs w:val="20"/>
          <w:lang w:eastAsia="zh-CN"/>
        </w:rPr>
        <w:t xml:space="preserve">采购人</w:t>
      </w:r>
      <w:r>
        <w:rPr>
          <w:rFonts w:hint="eastAsia" w:ascii="宋体" w:hAnsi="宋体" w:eastAsia="宋体" w:cs="宋体"/>
          <w:sz w:val="24"/>
          <w:szCs w:val="20"/>
        </w:rPr>
        <w:t xml:space="preserve">信息数据向任何无关单位和个人提供和泄露，必须有严格的数据保密措施，如因操作不当导致数据泄密应追究相应法律责任。</w:t>
      </w:r>
      <w:r/>
    </w:p>
    <w:p>
      <w:pPr>
        <w:ind w:firstLine="482"/>
        <w:jc w:val="left"/>
        <w:spacing w:line="560" w:lineRule="exact"/>
        <w:widowControl/>
        <w:rPr>
          <w:rFonts w:ascii="宋体" w:hAnsi="宋体" w:eastAsia="Arial" w:cs="宋体"/>
          <w:b/>
          <w:bCs/>
          <w:sz w:val="24"/>
          <w:szCs w:val="20"/>
        </w:rPr>
        <w:outlineLvl w:val="4"/>
      </w:pPr>
      <w:r>
        <w:rPr>
          <w:rFonts w:hint="eastAsia" w:ascii="宋体" w:hAnsi="宋体" w:cs="宋体"/>
          <w:b/>
          <w:bCs/>
          <w:sz w:val="24"/>
          <w:szCs w:val="20"/>
        </w:rPr>
        <w:t xml:space="preserve">2</w:t>
      </w:r>
      <w:r>
        <w:rPr>
          <w:rFonts w:hint="eastAsia" w:ascii="宋体" w:hAnsi="宋体" w:eastAsia="Arial" w:cs="宋体"/>
          <w:b/>
          <w:bCs/>
          <w:sz w:val="24"/>
          <w:szCs w:val="20"/>
        </w:rPr>
        <w:t xml:space="preserve">.项目进度安排</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为了确保按期完成建设和服务内容，</w:t>
      </w:r>
      <w:r>
        <w:rPr>
          <w:rFonts w:hint="eastAsia" w:ascii="宋体" w:hAnsi="宋体" w:eastAsia="宋体" w:cs="宋体"/>
          <w:sz w:val="24"/>
          <w:szCs w:val="20"/>
          <w:lang w:eastAsia="zh-CN"/>
        </w:rPr>
        <w:t xml:space="preserve">投标人</w:t>
      </w:r>
      <w:r>
        <w:rPr>
          <w:rFonts w:hint="eastAsia" w:ascii="宋体" w:hAnsi="宋体" w:eastAsia="宋体" w:cs="宋体"/>
          <w:sz w:val="24"/>
          <w:szCs w:val="20"/>
        </w:rPr>
        <w:t xml:space="preserve">详细描述项目各项工作的进展计划，并明确完成各项工作预计所需时间及达到的阶段目标，提供各阶段服务内容。</w:t>
      </w:r>
      <w:r/>
    </w:p>
    <w:p>
      <w:pPr>
        <w:ind w:firstLine="482"/>
        <w:jc w:val="left"/>
        <w:spacing w:line="560" w:lineRule="exact"/>
        <w:widowControl/>
        <w:rPr>
          <w:rFonts w:hint="eastAsia" w:ascii="宋体" w:hAnsi="宋体" w:cs="宋体"/>
          <w:b/>
          <w:bCs/>
          <w:sz w:val="24"/>
          <w:szCs w:val="20"/>
        </w:rPr>
        <w:outlineLvl w:val="4"/>
      </w:pPr>
      <w:r>
        <w:rPr>
          <w:rFonts w:hint="eastAsia" w:ascii="宋体" w:hAnsi="宋体" w:cs="宋体"/>
          <w:b/>
          <w:bCs/>
          <w:sz w:val="24"/>
          <w:szCs w:val="20"/>
        </w:rPr>
        <w:t xml:space="preserve">3.项目管理</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为了确保按期完成建设和服务内容，投标人需提供完善的项目管理方案，包括项目整体管理、项目管理体制、项目管理方法、项目质量管理、项目进度管理、项目资源管理、项目成本管理、项目沟通与协调方案、项目变更管理、文档管理方案。</w:t>
      </w:r>
      <w:r/>
    </w:p>
    <w:p>
      <w:pPr>
        <w:ind w:firstLine="482"/>
        <w:jc w:val="left"/>
        <w:spacing w:line="560" w:lineRule="exact"/>
        <w:widowControl/>
        <w:rPr>
          <w:rFonts w:ascii="宋体" w:hAnsi="宋体" w:eastAsia="Arial" w:cs="宋体"/>
          <w:b/>
          <w:bCs/>
          <w:sz w:val="24"/>
          <w:szCs w:val="20"/>
        </w:rPr>
        <w:outlineLvl w:val="4"/>
      </w:pPr>
      <w:r>
        <w:rPr>
          <w:rFonts w:hint="eastAsia" w:ascii="宋体" w:hAnsi="宋体" w:cs="宋体"/>
          <w:b/>
          <w:bCs/>
          <w:sz w:val="24"/>
          <w:szCs w:val="20"/>
        </w:rPr>
        <w:t xml:space="preserve">4</w:t>
      </w:r>
      <w:r>
        <w:rPr>
          <w:rFonts w:hint="eastAsia" w:ascii="宋体" w:hAnsi="宋体" w:eastAsia="Arial" w:cs="宋体"/>
          <w:b/>
          <w:bCs/>
          <w:sz w:val="24"/>
          <w:szCs w:val="20"/>
        </w:rPr>
        <w:t xml:space="preserve">.项目验收</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系统试运行结束后，</w:t>
      </w:r>
      <w:r>
        <w:rPr>
          <w:rFonts w:hint="eastAsia" w:ascii="宋体" w:hAnsi="宋体" w:eastAsia="宋体" w:cs="宋体"/>
          <w:sz w:val="24"/>
          <w:szCs w:val="20"/>
          <w:lang w:eastAsia="zh-CN"/>
        </w:rPr>
        <w:t xml:space="preserve">投标人</w:t>
      </w:r>
      <w:r>
        <w:rPr>
          <w:rFonts w:hint="eastAsia" w:ascii="宋体" w:hAnsi="宋体" w:eastAsia="宋体" w:cs="宋体"/>
          <w:sz w:val="24"/>
          <w:szCs w:val="20"/>
        </w:rPr>
        <w:t xml:space="preserve">须配合</w:t>
      </w:r>
      <w:r>
        <w:rPr>
          <w:rFonts w:hint="eastAsia" w:ascii="宋体" w:hAnsi="宋体" w:eastAsia="宋体" w:cs="宋体"/>
          <w:sz w:val="24"/>
          <w:szCs w:val="20"/>
          <w:lang w:eastAsia="zh-CN"/>
        </w:rPr>
        <w:t xml:space="preserve">采购人</w:t>
      </w:r>
      <w:r>
        <w:rPr>
          <w:rFonts w:hint="eastAsia" w:ascii="宋体" w:hAnsi="宋体" w:eastAsia="宋体" w:cs="宋体"/>
          <w:sz w:val="24"/>
          <w:szCs w:val="20"/>
        </w:rPr>
        <w:t xml:space="preserve">进行项目正式验收。正式验收时项目必须达到招投标文件、合同书完成的要求，同时配合</w:t>
      </w:r>
      <w:r>
        <w:rPr>
          <w:rFonts w:hint="eastAsia" w:ascii="宋体" w:hAnsi="宋体" w:eastAsia="宋体" w:cs="宋体"/>
          <w:sz w:val="24"/>
          <w:szCs w:val="20"/>
          <w:lang w:eastAsia="zh-CN"/>
        </w:rPr>
        <w:t xml:space="preserve">采购人</w:t>
      </w:r>
      <w:r>
        <w:rPr>
          <w:rFonts w:hint="eastAsia" w:ascii="宋体" w:hAnsi="宋体" w:eastAsia="宋体" w:cs="宋体"/>
          <w:sz w:val="24"/>
          <w:szCs w:val="20"/>
        </w:rPr>
        <w:t xml:space="preserve">完成相关测评工作。</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正式验收的前提条件是：</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（1）系统稳定运行，从用户反馈和系统稳定性方面来看，整个系统的运行已经进入正轨；</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（2）所有技术要求和功能模块按照要求全部实现，并满足使用要求；</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（3）各种技术文档和验收资料完备，符合合同内容要求。</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（五）项目培训方案</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项目培训方案至少包含以下内容：</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1.培训目的：确保系统使用人员和管理人员熟练使用系统、独立进行日常维护管理和简易故障处理等工作。</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2.培训服务原则</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以用户为中心：培训方式、进度安排均需充分考虑不同受众的知识基础、接受能力和时间便利性，提供友好易学的培训体验，注重互动交流与实践操作相结合。</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系统性规划：构建层次分明、循序渐进的培训体系，从基础概念讲解到高级应用技巧传授，逐步深入，避免碎片化教学，保障知识体系的连贯性与完整性。</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3.培训质量保障</w:t>
      </w:r>
      <w:r/>
    </w:p>
    <w:p>
      <w:pPr>
        <w:ind w:firstLine="482"/>
        <w:jc w:val="left"/>
        <w:spacing w:line="560" w:lineRule="exact"/>
        <w:widowControl/>
        <w:rPr>
          <w:rFonts w:hint="eastAsia" w:ascii="宋体" w:hAnsi="宋体" w:cs="宋体"/>
          <w:sz w:val="24"/>
          <w:szCs w:val="20"/>
        </w:rPr>
      </w:pPr>
      <w:r>
        <w:rPr>
          <w:rFonts w:hint="eastAsia" w:ascii="宋体" w:hAnsi="宋体" w:eastAsia="宋体" w:cs="宋体"/>
          <w:sz w:val="24"/>
          <w:szCs w:val="20"/>
        </w:rPr>
        <w:t xml:space="preserve">组建由熟悉就业创业业务且具备丰富实践经验的讲师团队，涵盖技术专家、一线业务能手及信息化骨干，保证授课内容的专业性与权威性。</w:t>
      </w:r>
      <w:r>
        <w:rPr>
          <w:rFonts w:hint="eastAsia" w:ascii="宋体" w:hAnsi="宋体" w:cs="宋体"/>
          <w:sz w:val="24"/>
          <w:szCs w:val="20"/>
        </w:rPr>
        <w:t xml:space="preserve">提供培训日常管理、质量保障与监督、培训总结与答疑等服务。</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4.培训计划</w:t>
      </w:r>
      <w:r/>
    </w:p>
    <w:p>
      <w:pPr>
        <w:ind w:firstLine="482"/>
        <w:jc w:val="left"/>
        <w:spacing w:line="560" w:lineRule="exact"/>
        <w:widowControl/>
        <w:rPr>
          <w:rFonts w:hint="eastAsia" w:ascii="宋体" w:hAnsi="宋体" w:cs="宋体"/>
          <w:sz w:val="24"/>
          <w:szCs w:val="20"/>
        </w:rPr>
      </w:pPr>
      <w:r>
        <w:rPr>
          <w:rFonts w:hint="eastAsia" w:ascii="宋体" w:hAnsi="宋体" w:eastAsia="宋体" w:cs="宋体"/>
          <w:sz w:val="24"/>
          <w:szCs w:val="20"/>
        </w:rPr>
        <w:t xml:space="preserve">科学合理划分培训</w:t>
      </w:r>
      <w:r>
        <w:rPr>
          <w:rFonts w:hint="eastAsia" w:ascii="宋体" w:hAnsi="宋体" w:eastAsia="Arial" w:cs="宋体"/>
          <w:sz w:val="24"/>
          <w:szCs w:val="20"/>
        </w:rPr>
        <w:t xml:space="preserve">批次，方便不同岗位人员按需参与，避免大规模集中培训影响正常</w:t>
      </w:r>
      <w:r>
        <w:rPr>
          <w:rFonts w:hint="eastAsia" w:ascii="宋体" w:hAnsi="宋体" w:eastAsia="宋体" w:cs="宋体"/>
          <w:sz w:val="24"/>
          <w:szCs w:val="20"/>
        </w:rPr>
        <w:t xml:space="preserve">工作</w:t>
      </w:r>
      <w:r>
        <w:rPr>
          <w:rFonts w:hint="eastAsia" w:ascii="宋体" w:hAnsi="宋体" w:eastAsia="Arial" w:cs="宋体"/>
          <w:sz w:val="24"/>
          <w:szCs w:val="20"/>
        </w:rPr>
        <w:t xml:space="preserve">秩序，每批次时长适中，提高培训覆盖率。</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5.培训内容</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培训政策宣讲：对</w:t>
      </w:r>
      <w:r>
        <w:rPr>
          <w:rFonts w:hint="eastAsia" w:ascii="宋体" w:hAnsi="宋体" w:eastAsia="Arial" w:cs="宋体"/>
          <w:sz w:val="24"/>
          <w:szCs w:val="20"/>
        </w:rPr>
        <w:t xml:space="preserve">平台</w:t>
      </w:r>
      <w:r>
        <w:rPr>
          <w:rFonts w:hint="eastAsia" w:ascii="宋体" w:hAnsi="宋体" w:eastAsia="宋体" w:cs="宋体"/>
          <w:sz w:val="24"/>
          <w:szCs w:val="20"/>
        </w:rPr>
        <w:t xml:space="preserve">建设功能及相关政策进行宣讲，让学员正确认识系统建设的重要意义，提升学习积极性。</w:t>
      </w:r>
      <w:r/>
    </w:p>
    <w:p>
      <w:pPr>
        <w:ind w:firstLine="482"/>
        <w:jc w:val="left"/>
        <w:spacing w:line="560" w:lineRule="exact"/>
        <w:widowControl/>
        <w:rPr>
          <w:rFonts w:hint="eastAsia" w:ascii="宋体" w:hAnsi="宋体" w:cs="宋体"/>
          <w:sz w:val="24"/>
          <w:szCs w:val="20"/>
        </w:rPr>
      </w:pPr>
      <w:r>
        <w:rPr>
          <w:rFonts w:hint="eastAsia" w:ascii="宋体" w:hAnsi="宋体" w:eastAsia="Arial" w:cs="宋体"/>
          <w:sz w:val="24"/>
          <w:szCs w:val="20"/>
        </w:rPr>
        <w:t xml:space="preserve">平台功能实操：详细演示平台各项核心功能的操作流程，让学员亲手实践直至熟练运用。</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运行维护培训：对相关维护人员进行系统软件环境、软件安装、配置和监控操作、常见故障处理等内容进行培训。</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常见问题答疑库建设：整理汇总过往培训及试用过程中出现的高频问题，形成详细的答疑手册并实时更新，供学员随时查阅参考，快速解决遇到的问题。</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（六）售后服务方案</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方案至少包含以下内容:</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服务内容：包括</w:t>
      </w:r>
      <w:r>
        <w:rPr>
          <w:rFonts w:hint="eastAsia" w:ascii="宋体" w:hAnsi="宋体" w:eastAsia="Arial" w:cs="宋体"/>
          <w:sz w:val="24"/>
          <w:szCs w:val="20"/>
        </w:rPr>
        <w:t xml:space="preserve">7*24</w:t>
      </w:r>
      <w:r>
        <w:rPr>
          <w:rFonts w:hint="eastAsia" w:ascii="宋体" w:hAnsi="宋体" w:eastAsia="宋体" w:cs="宋体"/>
          <w:sz w:val="24"/>
          <w:szCs w:val="20"/>
        </w:rPr>
        <w:t xml:space="preserve">小时热线电话、电子邮件和网站技术支持、系统监控服务、系统恢复服务、系统安全检测、</w:t>
      </w:r>
      <w:r>
        <w:rPr>
          <w:rFonts w:hint="eastAsia" w:ascii="宋体" w:hAnsi="宋体" w:eastAsia="Arial" w:cs="宋体"/>
          <w:sz w:val="24"/>
          <w:szCs w:val="20"/>
        </w:rPr>
        <w:t xml:space="preserve">系统维护定期巡检</w:t>
      </w:r>
      <w:r>
        <w:rPr>
          <w:rFonts w:hint="eastAsia" w:ascii="宋体" w:hAnsi="宋体" w:eastAsia="宋体" w:cs="宋体"/>
          <w:sz w:val="24"/>
          <w:szCs w:val="20"/>
        </w:rPr>
        <w:t xml:space="preserve">、平台咨询培训服务、日常现场维护服务、问题与缺陷跟踪服务、技术资料归集服务、系统漏洞处理服务、数据归集治理服务等以及省组件平台日常组件上架、申请等支撑工作</w:t>
      </w:r>
      <w:r>
        <w:rPr>
          <w:rFonts w:hint="eastAsia" w:ascii="宋体" w:hAnsi="宋体" w:eastAsia="Arial"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应急处理预案</w:t>
      </w:r>
      <w:r>
        <w:rPr>
          <w:rFonts w:hint="eastAsia" w:ascii="宋体" w:hAnsi="宋体" w:eastAsia="宋体" w:cs="宋体"/>
          <w:sz w:val="24"/>
          <w:szCs w:val="20"/>
        </w:rPr>
        <w:t xml:space="preserve">：</w:t>
      </w:r>
      <w:r>
        <w:rPr>
          <w:rFonts w:hint="eastAsia" w:ascii="宋体" w:hAnsi="宋体" w:eastAsia="Arial" w:cs="宋体"/>
          <w:sz w:val="24"/>
          <w:szCs w:val="20"/>
        </w:rPr>
        <w:t xml:space="preserve">针对可能出现的重大故障、安全事故等情况，制定完善的应急处置预案，明确应急响应流程、责任分工及恢复措施，定期组织演练，确保在突发状况下能迅速恢复服务。</w:t>
      </w:r>
      <w:r/>
    </w:p>
    <w:p>
      <w:pPr>
        <w:ind w:firstLine="482"/>
        <w:jc w:val="left"/>
        <w:spacing w:line="560" w:lineRule="exact"/>
        <w:widowControl/>
        <w:tabs>
          <w:tab w:val="left" w:pos="1134" w:leader="none"/>
        </w:tabs>
        <w:rPr>
          <w:rFonts w:hint="eastAsia" w:ascii="宋体" w:hAnsi="宋体" w:eastAsia="宋体" w:cs="宋体"/>
          <w:b/>
          <w:bCs/>
          <w:sz w:val="24"/>
          <w:szCs w:val="20"/>
        </w:rPr>
      </w:pPr>
      <w:r>
        <w:rPr>
          <w:rFonts w:hint="eastAsia" w:ascii="宋体" w:hAnsi="宋体" w:cs="宋体"/>
          <w:sz w:val="24"/>
          <w:szCs w:val="20"/>
        </w:rPr>
        <w:t xml:space="preserve">售后服务质量保障方案：明确售后服务质量保障措施、质量管控措施、故障响应措施。</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服务人员保障稳定性方案：明确人员选拔的标准、服务人员管理规范、服务人员及团队能力保障措施、售后服务人员稳定性保障措施。</w:t>
      </w:r>
      <w:r/>
    </w:p>
    <w:p>
      <w:pPr>
        <w:ind w:firstLine="482"/>
        <w:jc w:val="left"/>
        <w:spacing w:line="560" w:lineRule="exact"/>
        <w:widowControl/>
        <w:rPr>
          <w:rFonts w:hint="eastAsia" w:ascii="宋体" w:hAnsi="宋体" w:eastAsia="宋体" w:cs="宋体"/>
          <w:b/>
          <w:bCs/>
          <w:sz w:val="24"/>
          <w:szCs w:val="20"/>
        </w:rPr>
        <w:outlineLvl w:val="2"/>
      </w:pPr>
      <w:r>
        <w:rPr>
          <w:rFonts w:hint="eastAsia" w:ascii="宋体" w:hAnsi="宋体" w:eastAsia="宋体" w:cs="宋体"/>
          <w:b/>
          <w:bCs/>
          <w:sz w:val="24"/>
          <w:szCs w:val="20"/>
        </w:rPr>
        <w:t xml:space="preserve">四、项目演示</w:t>
      </w:r>
      <w:r/>
    </w:p>
    <w:p>
      <w:pPr>
        <w:ind w:firstLine="482"/>
        <w:jc w:val="left"/>
        <w:spacing w:line="560" w:lineRule="exact"/>
        <w:widowControl/>
        <w:rPr>
          <w:rFonts w:hint="eastAsia" w:ascii="宋体" w:hAnsi="宋体" w:cs="宋体"/>
          <w:sz w:val="24"/>
          <w:szCs w:val="20"/>
        </w:rPr>
      </w:pPr>
      <w:r>
        <w:rPr>
          <w:rFonts w:hint="eastAsia" w:ascii="宋体" w:hAnsi="宋体" w:eastAsia="宋体" w:cs="宋体"/>
          <w:sz w:val="24"/>
          <w:szCs w:val="20"/>
        </w:rPr>
        <w:t xml:space="preserve">1.</w:t>
      </w:r>
      <w:r>
        <w:rPr>
          <w:rFonts w:hint="eastAsia" w:ascii="宋体" w:hAnsi="宋体" w:eastAsia="Arial" w:cs="宋体"/>
          <w:sz w:val="24"/>
          <w:szCs w:val="20"/>
        </w:rPr>
        <w:t xml:space="preserve">投标人应根据采购需求和本项目实际，提供相应的演示视频，包括但不限于以下内容:</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（1）演示数据微场景开发模块：演示数据微应用场景配置过程，</w:t>
      </w:r>
      <w:r>
        <w:rPr>
          <w:rFonts w:hint="eastAsia" w:ascii="宋体" w:hAnsi="宋体" w:eastAsia="Arial" w:cs="宋体"/>
          <w:sz w:val="24"/>
          <w:szCs w:val="20"/>
        </w:rPr>
        <w:t xml:space="preserve">①</w:t>
      </w:r>
      <w:r>
        <w:rPr>
          <w:rFonts w:hint="eastAsia" w:ascii="宋体" w:hAnsi="宋体" w:eastAsia="宋体" w:cs="宋体"/>
          <w:sz w:val="24"/>
          <w:szCs w:val="20"/>
        </w:rPr>
        <w:t xml:space="preserve">基础信息配置，支持接口、库表转数据微应用，支持数据查询、数据比对、数据核验三种应用类型；</w:t>
      </w:r>
      <w:r>
        <w:rPr>
          <w:rFonts w:hint="eastAsia" w:ascii="宋体" w:hAnsi="宋体" w:eastAsia="Arial" w:cs="宋体"/>
          <w:sz w:val="24"/>
          <w:szCs w:val="20"/>
        </w:rPr>
        <w:t xml:space="preserve">②</w:t>
      </w:r>
      <w:r>
        <w:rPr>
          <w:rFonts w:hint="eastAsia" w:ascii="宋体" w:hAnsi="宋体" w:eastAsia="宋体" w:cs="宋体"/>
          <w:sz w:val="24"/>
          <w:szCs w:val="20"/>
        </w:rPr>
        <w:t xml:space="preserve">应用配置；</w:t>
      </w:r>
      <w:r>
        <w:rPr>
          <w:rFonts w:hint="eastAsia" w:ascii="宋体" w:hAnsi="宋体" w:eastAsia="Arial" w:cs="宋体"/>
          <w:sz w:val="24"/>
          <w:szCs w:val="20"/>
        </w:rPr>
        <w:t xml:space="preserve">③</w:t>
      </w:r>
      <w:r>
        <w:rPr>
          <w:rFonts w:hint="eastAsia" w:ascii="宋体" w:hAnsi="宋体" w:eastAsia="宋体" w:cs="宋体"/>
          <w:sz w:val="24"/>
          <w:szCs w:val="20"/>
        </w:rPr>
        <w:t xml:space="preserve">应用预览；</w:t>
      </w:r>
      <w:r>
        <w:rPr>
          <w:rFonts w:hint="eastAsia" w:ascii="宋体" w:hAnsi="宋体" w:eastAsia="Arial" w:cs="宋体"/>
          <w:sz w:val="24"/>
          <w:szCs w:val="20"/>
        </w:rPr>
        <w:t xml:space="preserve">④</w:t>
      </w:r>
      <w:r>
        <w:rPr>
          <w:rFonts w:hint="eastAsia" w:ascii="宋体" w:hAnsi="宋体" w:eastAsia="宋体" w:cs="宋体"/>
          <w:sz w:val="24"/>
          <w:szCs w:val="20"/>
        </w:rPr>
        <w:t xml:space="preserve">结果下载；</w:t>
      </w:r>
      <w:r>
        <w:rPr>
          <w:rFonts w:hint="eastAsia" w:ascii="宋体" w:hAnsi="宋体" w:eastAsia="Arial" w:cs="宋体"/>
          <w:sz w:val="24"/>
          <w:szCs w:val="20"/>
        </w:rPr>
        <w:t xml:space="preserve">⑤</w:t>
      </w:r>
      <w:r>
        <w:rPr>
          <w:rFonts w:hint="eastAsia" w:ascii="宋体" w:hAnsi="宋体" w:eastAsia="宋体" w:cs="宋体"/>
          <w:sz w:val="24"/>
          <w:szCs w:val="20"/>
        </w:rPr>
        <w:t xml:space="preserve">按账号、按部门授权。</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（2）演示数据专区管理模块：演示数据专区配置过程，包括</w:t>
      </w:r>
      <w:r>
        <w:rPr>
          <w:rFonts w:hint="eastAsia" w:ascii="宋体" w:hAnsi="宋体" w:eastAsia="Arial" w:cs="宋体"/>
          <w:sz w:val="24"/>
          <w:szCs w:val="20"/>
        </w:rPr>
        <w:t xml:space="preserve">①</w:t>
      </w:r>
      <w:r>
        <w:rPr>
          <w:rFonts w:hint="eastAsia" w:ascii="宋体" w:hAnsi="宋体" w:eastAsia="宋体" w:cs="宋体"/>
          <w:sz w:val="24"/>
          <w:szCs w:val="20"/>
        </w:rPr>
        <w:t xml:space="preserve">专区配置；</w:t>
      </w:r>
      <w:r>
        <w:rPr>
          <w:rFonts w:hint="eastAsia" w:ascii="宋体" w:hAnsi="宋体" w:eastAsia="Arial" w:cs="宋体"/>
          <w:sz w:val="24"/>
          <w:szCs w:val="20"/>
        </w:rPr>
        <w:t xml:space="preserve">②</w:t>
      </w:r>
      <w:r>
        <w:rPr>
          <w:rFonts w:hint="eastAsia" w:ascii="宋体" w:hAnsi="宋体" w:eastAsia="宋体" w:cs="宋体"/>
          <w:sz w:val="24"/>
          <w:szCs w:val="20"/>
        </w:rPr>
        <w:t xml:space="preserve">组件配置；</w:t>
      </w:r>
      <w:r>
        <w:rPr>
          <w:rFonts w:hint="eastAsia" w:ascii="宋体" w:hAnsi="宋体" w:eastAsia="Arial" w:cs="宋体"/>
          <w:sz w:val="24"/>
          <w:szCs w:val="20"/>
        </w:rPr>
        <w:t xml:space="preserve">③</w:t>
      </w:r>
      <w:r>
        <w:rPr>
          <w:rFonts w:hint="eastAsia" w:ascii="宋体" w:hAnsi="宋体" w:eastAsia="宋体" w:cs="宋体"/>
          <w:sz w:val="24"/>
          <w:szCs w:val="20"/>
        </w:rPr>
        <w:t xml:space="preserve">角色管理；</w:t>
      </w:r>
      <w:r>
        <w:rPr>
          <w:rFonts w:hint="eastAsia" w:ascii="宋体" w:hAnsi="宋体" w:eastAsia="Arial" w:cs="宋体"/>
          <w:sz w:val="24"/>
          <w:szCs w:val="20"/>
        </w:rPr>
        <w:t xml:space="preserve">④</w:t>
      </w:r>
      <w:r>
        <w:rPr>
          <w:rFonts w:hint="eastAsia" w:ascii="宋体" w:hAnsi="宋体" w:eastAsia="宋体" w:cs="宋体"/>
          <w:sz w:val="24"/>
          <w:szCs w:val="20"/>
        </w:rPr>
        <w:t xml:space="preserve">成员管理；</w:t>
      </w:r>
      <w:r>
        <w:rPr>
          <w:rFonts w:hint="eastAsia" w:ascii="宋体" w:hAnsi="宋体" w:eastAsia="Arial" w:cs="宋体"/>
          <w:sz w:val="24"/>
          <w:szCs w:val="20"/>
        </w:rPr>
        <w:t xml:space="preserve">⑤</w:t>
      </w:r>
      <w:r>
        <w:rPr>
          <w:rFonts w:hint="eastAsia" w:ascii="宋体" w:hAnsi="宋体" w:eastAsia="宋体" w:cs="宋体"/>
          <w:sz w:val="24"/>
          <w:szCs w:val="20"/>
        </w:rPr>
        <w:t xml:space="preserve">个人中心。</w:t>
      </w:r>
      <w:r/>
    </w:p>
    <w:p>
      <w:pPr>
        <w:ind w:firstLine="482"/>
        <w:jc w:val="left"/>
        <w:spacing w:line="560" w:lineRule="exact"/>
        <w:widowControl/>
        <w:rPr>
          <w:rFonts w:hint="eastAsia" w:ascii="宋体" w:hAnsi="宋体" w:cs="宋体"/>
          <w:sz w:val="24"/>
          <w:szCs w:val="20"/>
        </w:rPr>
      </w:pPr>
      <w:r>
        <w:rPr>
          <w:rFonts w:hint="eastAsia" w:ascii="宋体" w:hAnsi="宋体" w:eastAsia="宋体" w:cs="宋体"/>
          <w:sz w:val="24"/>
          <w:szCs w:val="20"/>
        </w:rPr>
        <w:t xml:space="preserve">（3）演示数字资源</w:t>
      </w:r>
      <w:r>
        <w:rPr>
          <w:rFonts w:ascii="宋体" w:hAnsi="宋体" w:eastAsia="Arial" w:cs="宋体"/>
          <w:sz w:val="24"/>
          <w:szCs w:val="20"/>
        </w:rPr>
        <w:t xml:space="preserve">“</w:t>
      </w:r>
      <w:r>
        <w:rPr>
          <w:rFonts w:hint="eastAsia" w:ascii="宋体" w:hAnsi="宋体" w:eastAsia="宋体" w:cs="宋体"/>
          <w:sz w:val="24"/>
          <w:szCs w:val="20"/>
        </w:rPr>
        <w:t xml:space="preserve">一本账</w:t>
      </w:r>
      <w:r>
        <w:rPr>
          <w:rFonts w:ascii="宋体" w:hAnsi="宋体" w:eastAsia="Arial" w:cs="宋体"/>
          <w:sz w:val="24"/>
          <w:szCs w:val="20"/>
        </w:rPr>
        <w:t xml:space="preserve">”</w:t>
      </w:r>
      <w:r>
        <w:rPr>
          <w:rFonts w:hint="eastAsia" w:ascii="宋体" w:hAnsi="宋体" w:eastAsia="宋体" w:cs="宋体"/>
          <w:sz w:val="24"/>
          <w:szCs w:val="20"/>
        </w:rPr>
        <w:t xml:space="preserve">管理模块：</w:t>
      </w:r>
      <w:r>
        <w:rPr>
          <w:rFonts w:hint="eastAsia" w:ascii="宋体" w:hAnsi="宋体" w:eastAsia="Arial" w:cs="宋体"/>
          <w:sz w:val="24"/>
          <w:szCs w:val="20"/>
        </w:rPr>
        <w:t xml:space="preserve">①</w:t>
      </w:r>
      <w:r>
        <w:rPr>
          <w:rFonts w:hint="eastAsia" w:ascii="宋体" w:hAnsi="宋体" w:eastAsia="宋体" w:cs="宋体"/>
          <w:sz w:val="24"/>
          <w:szCs w:val="20"/>
        </w:rPr>
        <w:t xml:space="preserve">清单管理：演示项目清单管理模块，演示查看项目详情，包括项目基本信息、关联事项、系统、数据资源、标准规范、基础设施信息以及项目图谱；</w:t>
      </w:r>
      <w:r>
        <w:rPr>
          <w:rFonts w:hint="eastAsia" w:ascii="宋体" w:hAnsi="宋体" w:eastAsia="Arial" w:cs="宋体"/>
          <w:sz w:val="24"/>
          <w:szCs w:val="20"/>
        </w:rPr>
        <w:t xml:space="preserve">②</w:t>
      </w:r>
      <w:r>
        <w:rPr>
          <w:rFonts w:hint="eastAsia" w:ascii="宋体" w:hAnsi="宋体" w:eastAsia="宋体" w:cs="宋体"/>
          <w:sz w:val="24"/>
          <w:szCs w:val="20"/>
        </w:rPr>
        <w:t xml:space="preserve">指标管理：演示指标计算配置过程和指标展示；</w:t>
      </w:r>
      <w:r>
        <w:rPr>
          <w:rFonts w:hint="eastAsia" w:ascii="宋体" w:hAnsi="宋体" w:eastAsia="Arial" w:cs="宋体"/>
          <w:sz w:val="24"/>
          <w:szCs w:val="20"/>
        </w:rPr>
        <w:t xml:space="preserve">③</w:t>
      </w:r>
      <w:r>
        <w:rPr>
          <w:rFonts w:hint="eastAsia" w:ascii="宋体" w:hAnsi="宋体" w:eastAsia="宋体" w:cs="宋体"/>
          <w:sz w:val="24"/>
          <w:szCs w:val="20"/>
        </w:rPr>
        <w:t xml:space="preserve">业务办理：演示新建信息化系统待办事项处理流程，包括数据编目、资源挂载等。</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2.</w:t>
      </w:r>
      <w:r>
        <w:rPr>
          <w:rFonts w:hint="eastAsia" w:ascii="宋体" w:hAnsi="宋体" w:eastAsia="Arial" w:cs="宋体"/>
          <w:sz w:val="24"/>
          <w:szCs w:val="20"/>
        </w:rPr>
        <w:t xml:space="preserve">演示要求:演示方式视频演示</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投标人需按照以下要求提供演示视频文件：视频文件的格式为*.mp4或*.avi，投标人须将视频文件分段压缩为*.zip文件上传（单个文件不得大于50M，所有文件总共不得大于300M），视频时长不超过20分钟。</w:t>
      </w:r>
      <w:r/>
    </w:p>
    <w:p>
      <w:pPr>
        <w:ind w:firstLine="482"/>
        <w:jc w:val="left"/>
        <w:spacing w:line="560" w:lineRule="exact"/>
        <w:widowControl/>
        <w:rPr>
          <w:rFonts w:hint="eastAsia" w:ascii="宋体" w:hAnsi="宋体" w:eastAsia="宋体" w:cs="宋体"/>
          <w:b/>
          <w:bCs/>
          <w:sz w:val="24"/>
          <w:szCs w:val="20"/>
        </w:rPr>
        <w:outlineLvl w:val="2"/>
      </w:pPr>
      <w:r>
        <w:rPr>
          <w:rFonts w:hint="eastAsia" w:ascii="宋体" w:hAnsi="宋体" w:eastAsia="宋体" w:cs="宋体"/>
          <w:b/>
          <w:bCs/>
          <w:sz w:val="24"/>
          <w:szCs w:val="20"/>
        </w:rPr>
        <w:t xml:space="preserve">五、企业实力</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为了择优选择中标单位，体现企业实力，投标人具备有效期内的</w:t>
      </w:r>
      <w:r>
        <w:rPr>
          <w:rFonts w:hint="eastAsia" w:asciiTheme="minorEastAsia" w:hAnsiTheme="minorEastAsia" w:cstheme="minorEastAsia"/>
          <w:sz w:val="24"/>
        </w:rPr>
        <w:t xml:space="preserve">质量管理体系认证证书、信息技术服务管理体系认证证书、信息安全管理体系认证证书、隐私信息管理体系认证证书、数据管理能力成熟度等级证书的优先</w:t>
      </w:r>
      <w:r>
        <w:rPr>
          <w:rFonts w:hint="eastAsia" w:ascii="宋体" w:hAnsi="宋体" w:eastAsia="宋体" w:cs="宋体"/>
          <w:sz w:val="24"/>
          <w:szCs w:val="20"/>
        </w:rPr>
        <w:t xml:space="preserve">。</w:t>
      </w:r>
      <w:r/>
    </w:p>
    <w:p>
      <w:pPr>
        <w:ind w:firstLine="482"/>
        <w:jc w:val="left"/>
        <w:spacing w:line="560" w:lineRule="exact"/>
        <w:widowControl/>
        <w:rPr>
          <w:rFonts w:hint="eastAsia" w:ascii="宋体" w:hAnsi="宋体" w:eastAsia="宋体" w:cs="宋体"/>
          <w:b/>
          <w:bCs/>
          <w:sz w:val="24"/>
          <w:szCs w:val="20"/>
        </w:rPr>
        <w:outlineLvl w:val="2"/>
      </w:pPr>
      <w:r>
        <w:rPr>
          <w:rFonts w:hint="eastAsia" w:ascii="宋体" w:hAnsi="宋体" w:eastAsia="宋体" w:cs="宋体"/>
          <w:b/>
          <w:bCs/>
          <w:sz w:val="24"/>
          <w:szCs w:val="20"/>
        </w:rPr>
        <w:t xml:space="preserve">六、团队能力</w:t>
      </w:r>
      <w:r/>
    </w:p>
    <w:p>
      <w:pPr>
        <w:ind w:firstLine="482"/>
        <w:jc w:val="left"/>
        <w:spacing w:line="560" w:lineRule="exact"/>
        <w:widowControl/>
        <w:rPr>
          <w:rFonts w:hint="eastAsia" w:asciiTheme="minorEastAsia" w:hAnsiTheme="minorEastAsia" w:cstheme="minorEastAsia"/>
          <w:sz w:val="24"/>
          <w:szCs w:val="20"/>
        </w:rPr>
      </w:pPr>
      <w:r>
        <w:rPr>
          <w:rFonts w:asciiTheme="minorEastAsia" w:hAnsiTheme="minorEastAsia" w:cstheme="minorEastAsia"/>
          <w:sz w:val="24"/>
          <w:szCs w:val="20"/>
        </w:rPr>
        <w:t xml:space="preserve">投标人需为本项目配备项目组并提供现场开发和运维服务，并按照不同工作职责分别配置项目经理、技术负责人及项目组成员</w:t>
      </w:r>
      <w:r>
        <w:rPr>
          <w:rFonts w:hint="eastAsia" w:asciiTheme="minorEastAsia" w:hAnsiTheme="minorEastAsia" w:cstheme="minorEastAsia"/>
          <w:sz w:val="24"/>
          <w:szCs w:val="20"/>
        </w:rPr>
        <w:t xml:space="preserve">（含驻场人员）</w:t>
      </w:r>
      <w:r>
        <w:rPr>
          <w:rFonts w:asciiTheme="minorEastAsia" w:hAnsiTheme="minorEastAsia" w:cstheme="minorEastAsia"/>
          <w:sz w:val="24"/>
          <w:szCs w:val="20"/>
        </w:rPr>
        <w:t xml:space="preserve">。成员人数不少于1</w:t>
      </w:r>
      <w:r>
        <w:rPr>
          <w:rFonts w:hint="eastAsia" w:asciiTheme="minorEastAsia" w:hAnsiTheme="minorEastAsia" w:cstheme="minorEastAsia"/>
          <w:sz w:val="24"/>
          <w:szCs w:val="20"/>
        </w:rPr>
        <w:t xml:space="preserve">5</w:t>
      </w:r>
      <w:r>
        <w:rPr>
          <w:rFonts w:asciiTheme="minorEastAsia" w:hAnsiTheme="minorEastAsia" w:cstheme="minorEastAsia"/>
          <w:sz w:val="24"/>
          <w:szCs w:val="20"/>
        </w:rPr>
        <w:t xml:space="preserve">人，其中含项目经理1名、技术负责人1名。</w:t>
      </w:r>
      <w:r/>
    </w:p>
    <w:p>
      <w:pPr>
        <w:ind w:firstLine="482"/>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（1）项目经理：具有国家人力资源和社会保障部工业和信息化部批准颁发的信息系统项目管理师、系统规划与管理师证书</w:t>
      </w:r>
      <w:r>
        <w:rPr>
          <w:rFonts w:hint="eastAsia" w:asciiTheme="minorEastAsia" w:hAnsiTheme="minorEastAsia" w:cstheme="minorEastAsia"/>
          <w:bCs/>
          <w:sz w:val="24"/>
        </w:rPr>
        <w:t xml:space="preserve">的优先</w:t>
      </w:r>
      <w:r>
        <w:rPr>
          <w:rFonts w:hint="eastAsia" w:ascii="宋体" w:hAnsi="宋体" w:eastAsia="宋体" w:cs="宋体"/>
          <w:bCs/>
          <w:sz w:val="24"/>
          <w:szCs w:val="20"/>
        </w:rPr>
        <w:t xml:space="preserve">。</w:t>
      </w:r>
      <w:r/>
    </w:p>
    <w:p>
      <w:pPr>
        <w:ind w:firstLine="482"/>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（2）技术负责人：具有国家人力资源和社会保障部工业和信息化部批准颁发的系统架构设计师、软件设计师证书的优先。</w:t>
      </w:r>
      <w:r/>
    </w:p>
    <w:p>
      <w:pPr>
        <w:ind w:firstLine="482"/>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（3）项目组成员</w:t>
      </w:r>
      <w:bookmarkStart w:id="131" w:name="OLE_LINK34"/>
      <w:r/>
      <w:bookmarkStart w:id="132" w:name="OLE_LINK36"/>
      <w:r/>
      <w:bookmarkStart w:id="133" w:name="OLE_LINK35"/>
      <w:r>
        <w:rPr>
          <w:rFonts w:hint="eastAsia" w:asciiTheme="minorEastAsia" w:hAnsiTheme="minorEastAsia" w:cstheme="minorEastAsia"/>
          <w:sz w:val="24"/>
          <w:szCs w:val="20"/>
        </w:rPr>
        <w:t xml:space="preserve">（除项目经理、技术负责人外）</w:t>
      </w:r>
      <w:bookmarkEnd w:id="131"/>
      <w:r/>
      <w:bookmarkEnd w:id="132"/>
      <w:r/>
      <w:bookmarkEnd w:id="133"/>
      <w:r/>
      <w:bookmarkStart w:id="134" w:name="_Hlk213940787"/>
      <w:r>
        <w:rPr>
          <w:rFonts w:hint="eastAsia" w:asciiTheme="minorEastAsia" w:hAnsiTheme="minorEastAsia" w:cstheme="minorEastAsia"/>
          <w:sz w:val="24"/>
          <w:szCs w:val="20"/>
        </w:rPr>
        <w:t xml:space="preserve">具有国家人力资源和社会保障部 工业和信息化部批准颁发的系统架构设计师、网络规划设计师、数据库系统工程师、系统集成项目管理工程师、系统分析师和中国网络安全审查认证和市场监管大数据中心颁发的CISAW信息安全保障人员证书的优先。</w:t>
      </w:r>
      <w:bookmarkEnd w:id="134"/>
      <w:r/>
      <w:r/>
    </w:p>
    <w:p>
      <w:pPr>
        <w:ind w:firstLine="482"/>
        <w:jc w:val="left"/>
        <w:spacing w:line="560" w:lineRule="exact"/>
        <w:widowControl/>
        <w:rPr>
          <w:rFonts w:hint="eastAsia" w:ascii="宋体" w:hAnsi="宋体" w:eastAsia="宋体" w:cs="宋体"/>
          <w:b/>
          <w:bCs/>
          <w:sz w:val="24"/>
          <w:szCs w:val="20"/>
        </w:rPr>
        <w:outlineLvl w:val="2"/>
      </w:pPr>
      <w:r>
        <w:rPr>
          <w:rFonts w:hint="eastAsia" w:ascii="宋体" w:hAnsi="宋体" w:eastAsia="宋体" w:cs="宋体"/>
          <w:b/>
          <w:bCs/>
          <w:sz w:val="24"/>
          <w:szCs w:val="20"/>
        </w:rPr>
        <w:t xml:space="preserve">七、业绩</w:t>
      </w:r>
      <w:r/>
    </w:p>
    <w:p>
      <w:pPr>
        <w:ind w:firstLine="482"/>
        <w:jc w:val="left"/>
        <w:spacing w:line="560" w:lineRule="exact"/>
        <w:widowControl/>
        <w:rPr>
          <w:rFonts w:hint="eastAsia" w:ascii="宋体" w:hAnsi="宋体" w:eastAsia="宋体" w:cs="宋体"/>
          <w:bCs/>
          <w:sz w:val="24"/>
          <w:szCs w:val="20"/>
        </w:rPr>
      </w:pPr>
      <w:r>
        <w:rPr>
          <w:rFonts w:hint="eastAsia" w:ascii="宋体" w:hAnsi="宋体" w:eastAsia="宋体" w:cs="宋体"/>
          <w:sz w:val="24"/>
          <w:szCs w:val="20"/>
        </w:rPr>
        <w:t xml:space="preserve">为了确保项目的顺利实施，投标人需具有类似项目的相关承接经验，投标人自</w:t>
      </w:r>
      <w:r>
        <w:rPr>
          <w:rFonts w:hint="eastAsia" w:ascii="宋体" w:hAnsi="宋体" w:eastAsia="Arial" w:cs="宋体"/>
          <w:sz w:val="24"/>
          <w:szCs w:val="20"/>
        </w:rPr>
        <w:t xml:space="preserve">202</w:t>
      </w:r>
      <w:r>
        <w:rPr>
          <w:rFonts w:hint="eastAsia" w:ascii="宋体" w:hAnsi="宋体" w:eastAsia="宋体" w:cs="宋体"/>
          <w:sz w:val="24"/>
          <w:szCs w:val="20"/>
        </w:rPr>
        <w:t xml:space="preserve">2年</w:t>
      </w:r>
      <w:r>
        <w:rPr>
          <w:rFonts w:hint="eastAsia" w:ascii="宋体" w:hAnsi="宋体" w:eastAsia="Arial" w:cs="宋体"/>
          <w:sz w:val="24"/>
          <w:szCs w:val="20"/>
        </w:rPr>
        <w:t xml:space="preserve">1</w:t>
      </w:r>
      <w:r>
        <w:rPr>
          <w:rFonts w:hint="eastAsia" w:ascii="宋体" w:hAnsi="宋体" w:eastAsia="宋体" w:cs="宋体"/>
          <w:sz w:val="24"/>
          <w:szCs w:val="20"/>
        </w:rPr>
        <w:t xml:space="preserve">月</w:t>
      </w:r>
      <w:r>
        <w:rPr>
          <w:rFonts w:hint="eastAsia" w:ascii="宋体" w:hAnsi="宋体" w:eastAsia="Arial" w:cs="宋体"/>
          <w:sz w:val="24"/>
          <w:szCs w:val="20"/>
        </w:rPr>
        <w:t xml:space="preserve">1</w:t>
      </w:r>
      <w:r>
        <w:rPr>
          <w:rFonts w:hint="eastAsia" w:ascii="宋体" w:hAnsi="宋体" w:eastAsia="宋体" w:cs="宋体"/>
          <w:sz w:val="24"/>
          <w:szCs w:val="20"/>
        </w:rPr>
        <w:t xml:space="preserve">日以来（以合同签订日期为准），承担过类似业绩</w:t>
      </w:r>
      <w:r>
        <w:rPr>
          <w:rFonts w:hint="eastAsia" w:ascii="宋体" w:hAnsi="宋体" w:cs="宋体"/>
          <w:sz w:val="24"/>
          <w:szCs w:val="20"/>
        </w:rPr>
        <w:t xml:space="preserve">（</w:t>
      </w:r>
      <w:r>
        <w:rPr>
          <w:rFonts w:hint="eastAsia" w:asciiTheme="minorEastAsia" w:hAnsiTheme="minorEastAsia" w:cstheme="minorEastAsia"/>
          <w:bCs/>
          <w:sz w:val="24"/>
          <w:lang w:val="zh-CN"/>
        </w:rPr>
        <w:t xml:space="preserve">类似项目是指</w:t>
      </w:r>
      <w:r>
        <w:rPr>
          <w:rFonts w:hint="eastAsia" w:asciiTheme="minorEastAsia" w:hAnsiTheme="minorEastAsia" w:cstheme="minorEastAsia"/>
          <w:bCs/>
          <w:sz w:val="24"/>
        </w:rPr>
        <w:t xml:space="preserve">具有大数据平台建设类、数据治理类、数据运维运营类项目业绩</w:t>
      </w:r>
      <w:r>
        <w:rPr>
          <w:rFonts w:hint="eastAsia" w:asciiTheme="minorEastAsia" w:hAnsiTheme="minorEastAsia" w:cstheme="minorEastAsia"/>
          <w:bCs/>
          <w:sz w:val="24"/>
          <w:lang w:val="zh-CN"/>
        </w:rPr>
        <w:t xml:space="preserve">至少一项在内的信息化建设项目）</w:t>
      </w:r>
      <w:r>
        <w:rPr>
          <w:rFonts w:hint="eastAsia" w:ascii="宋体" w:hAnsi="宋体" w:eastAsia="宋体" w:cs="宋体"/>
          <w:bCs/>
          <w:sz w:val="24"/>
          <w:szCs w:val="20"/>
        </w:rPr>
        <w:t xml:space="preserve">的优先。</w:t>
      </w:r>
      <w:r/>
    </w:p>
    <w:p>
      <w:pPr>
        <w:ind w:firstLine="482"/>
        <w:jc w:val="left"/>
        <w:spacing w:line="560" w:lineRule="exact"/>
        <w:widowControl/>
        <w:rPr>
          <w:rFonts w:hint="eastAsia" w:ascii="宋体" w:hAnsi="宋体" w:eastAsia="宋体" w:cs="宋体"/>
          <w:b/>
          <w:bCs/>
          <w:sz w:val="24"/>
          <w:szCs w:val="20"/>
        </w:rPr>
        <w:outlineLvl w:val="2"/>
      </w:pPr>
      <w:r>
        <w:rPr>
          <w:rFonts w:hint="eastAsia" w:ascii="宋体" w:hAnsi="宋体" w:eastAsia="宋体" w:cs="宋体"/>
          <w:b/>
          <w:bCs/>
          <w:sz w:val="24"/>
          <w:szCs w:val="20"/>
        </w:rPr>
        <w:t xml:space="preserve">八、采购标的对应的中小企业划分标准所属行业一览表</w:t>
      </w:r>
      <w:r/>
    </w:p>
    <w:tbl>
      <w:tblPr>
        <w:tblStyle w:val="741"/>
        <w:tblW w:w="873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3836"/>
        <w:gridCol w:w="3987"/>
      </w:tblGrid>
      <w:tr>
        <w:trPr>
          <w:trHeight w:val="789"/>
        </w:trPr>
        <w:tc>
          <w:tcPr>
            <w:tcW w:w="907" w:type="dxa"/>
            <w:vAlign w:val="center"/>
            <w:textDirection w:val="lrTb"/>
            <w:noWrap w:val="false"/>
          </w:tcPr>
          <w:p>
            <w:pPr>
              <w:jc w:val="center"/>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序号</w:t>
            </w:r>
            <w:r/>
          </w:p>
        </w:tc>
        <w:tc>
          <w:tcPr>
            <w:tcW w:w="3836" w:type="dxa"/>
            <w:vAlign w:val="center"/>
            <w:textDirection w:val="lrTb"/>
            <w:noWrap w:val="false"/>
          </w:tcPr>
          <w:p>
            <w:pPr>
              <w:jc w:val="center"/>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采购标的</w:t>
            </w:r>
            <w:r/>
          </w:p>
        </w:tc>
        <w:tc>
          <w:tcPr>
            <w:tcW w:w="3987" w:type="dxa"/>
            <w:vAlign w:val="center"/>
            <w:textDirection w:val="lrTb"/>
            <w:noWrap w:val="false"/>
          </w:tcPr>
          <w:p>
            <w:pPr>
              <w:jc w:val="center"/>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对应中小企业划分标准所属行业</w:t>
            </w:r>
            <w:r/>
          </w:p>
        </w:tc>
      </w:tr>
      <w:tr>
        <w:trPr>
          <w:trHeight w:val="843"/>
        </w:trPr>
        <w:tc>
          <w:tcPr>
            <w:tcW w:w="907" w:type="dxa"/>
            <w:vAlign w:val="center"/>
            <w:textDirection w:val="lrTb"/>
            <w:noWrap w:val="false"/>
          </w:tcPr>
          <w:p>
            <w:pPr>
              <w:jc w:val="center"/>
              <w:spacing w:line="560" w:lineRule="exact"/>
              <w:widowControl/>
              <w:rPr>
                <w:rFonts w:ascii="宋体" w:hAnsi="宋体" w:eastAsia="Arial" w:cs="宋体"/>
                <w:sz w:val="24"/>
                <w:szCs w:val="20"/>
              </w:rPr>
            </w:pPr>
            <w:r>
              <w:rPr>
                <w:rFonts w:hint="eastAsia" w:ascii="宋体" w:hAnsi="宋体" w:eastAsia="Arial" w:cs="宋体"/>
                <w:sz w:val="24"/>
                <w:szCs w:val="20"/>
              </w:rPr>
              <w:t xml:space="preserve">1</w:t>
            </w:r>
            <w:r/>
          </w:p>
        </w:tc>
        <w:tc>
          <w:tcPr>
            <w:tcW w:w="3836" w:type="dxa"/>
            <w:vAlign w:val="center"/>
            <w:textDirection w:val="lrTb"/>
            <w:noWrap w:val="false"/>
          </w:tcPr>
          <w:p>
            <w:pPr>
              <w:jc w:val="center"/>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盐城市“公共数据平台”数据安全 </w:t>
            </w:r>
            <w:r/>
          </w:p>
          <w:p>
            <w:pPr>
              <w:jc w:val="center"/>
              <w:spacing w:line="560" w:lineRule="exact"/>
              <w:widowControl/>
              <w:rPr>
                <w:rFonts w:ascii="宋体" w:hAnsi="宋体" w:eastAsia="Arial" w:cs="宋体"/>
                <w:sz w:val="24"/>
                <w:szCs w:val="20"/>
              </w:rPr>
            </w:pPr>
            <w:r>
              <w:rPr>
                <w:rFonts w:hint="eastAsia" w:ascii="宋体" w:hAnsi="宋体" w:eastAsia="宋体" w:cs="宋体"/>
                <w:sz w:val="24"/>
                <w:szCs w:val="20"/>
              </w:rPr>
              <w:t xml:space="preserve">和治理应用功能模块建设升级项目</w:t>
            </w:r>
            <w:r/>
          </w:p>
        </w:tc>
        <w:tc>
          <w:tcPr>
            <w:tcW w:w="3987" w:type="dxa"/>
            <w:vAlign w:val="center"/>
            <w:textDirection w:val="lrTb"/>
            <w:noWrap w:val="false"/>
          </w:tcPr>
          <w:p>
            <w:pPr>
              <w:jc w:val="center"/>
              <w:spacing w:line="560" w:lineRule="exact"/>
              <w:widowControl/>
              <w:rPr>
                <w:rFonts w:ascii="宋体" w:hAnsi="宋体" w:eastAsia="Arial" w:cs="宋体"/>
                <w:sz w:val="24"/>
                <w:szCs w:val="20"/>
              </w:rPr>
            </w:pPr>
            <w:r>
              <w:rPr>
                <w:rFonts w:hint="eastAsia" w:ascii="宋体" w:hAnsi="宋体" w:eastAsia="Arial" w:cs="宋体"/>
                <w:sz w:val="24"/>
                <w:szCs w:val="20"/>
              </w:rPr>
              <w:t xml:space="preserve">软件和信息技术服务业</w:t>
            </w:r>
            <w:r/>
          </w:p>
        </w:tc>
      </w:tr>
    </w:tbl>
    <w:p>
      <w:pPr>
        <w:ind w:firstLine="482"/>
        <w:spacing w:line="560" w:lineRule="exact"/>
        <w:widowControl/>
        <w:rPr>
          <w:rFonts w:hint="eastAsia" w:ascii="宋体" w:hAnsi="宋体" w:eastAsia="宋体" w:cs="宋体"/>
          <w:b/>
          <w:bCs/>
          <w:sz w:val="24"/>
          <w:szCs w:val="20"/>
          <w:lang w:bidi="ar"/>
        </w:rPr>
        <w:sectPr>
          <w:footerReference w:type="default" r:id="rId11"/>
          <w:footerReference w:type="first" r:id="rId12"/>
          <w:footnotePr/>
          <w:endnotePr/>
          <w:type w:val="nextPage"/>
          <w:pgSz w:w="11906" w:h="16838" w:orient="portrait"/>
          <w:pgMar w:top="1440" w:right="1633" w:bottom="1440" w:left="1633" w:header="737" w:footer="1134" w:gutter="0"/>
          <w:pgNumType w:start="1"/>
          <w:cols w:num="1" w:sep="0" w:space="425" w:equalWidth="1"/>
          <w:docGrid w:linePitch="360"/>
          <w:titlePg/>
        </w:sectPr>
        <w:outlineLvl w:val="1"/>
      </w:pPr>
      <w:r>
        <w:rPr>
          <w:rFonts w:hint="eastAsia" w:ascii="宋体" w:hAnsi="宋体" w:eastAsia="宋体" w:cs="宋体"/>
          <w:b/>
          <w:bCs/>
          <w:sz w:val="24"/>
          <w:szCs w:val="20"/>
          <w:lang w:bidi="ar"/>
        </w:rPr>
      </w:r>
      <w:r/>
    </w:p>
    <w:p>
      <w:pPr>
        <w:ind w:firstLine="482"/>
        <w:spacing w:line="560" w:lineRule="exact"/>
        <w:widowControl/>
        <w:rPr>
          <w:rFonts w:hint="eastAsia" w:ascii="宋体" w:hAnsi="宋体" w:eastAsia="宋体" w:cs="宋体"/>
          <w:b/>
          <w:bCs/>
          <w:sz w:val="24"/>
          <w:szCs w:val="20"/>
          <w:lang w:bidi="ar"/>
        </w:rPr>
        <w:outlineLvl w:val="1"/>
      </w:pPr>
      <w:r>
        <w:rPr>
          <w:rFonts w:hint="eastAsia" w:ascii="宋体" w:hAnsi="宋体" w:eastAsia="宋体" w:cs="宋体"/>
          <w:b/>
          <w:bCs/>
          <w:sz w:val="24"/>
          <w:szCs w:val="20"/>
          <w:lang w:bidi="ar"/>
        </w:rPr>
        <w:t xml:space="preserve">分包二：公共数据安全防护项目</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为响应《江苏省数据条例》等政策要求，明确数据安全治理全流程规范，将安全作为数据“供得出、流得动、用得好”的前提，保障公众权益、筑牢数字经济安全底座，支撑数据资产入表、授权运营等改革落地，建设公共数据安全防护项目。</w:t>
      </w:r>
      <w:r/>
    </w:p>
    <w:p>
      <w:pPr>
        <w:ind w:firstLine="482"/>
        <w:spacing w:line="560" w:lineRule="exact"/>
        <w:widowControl/>
        <w:rPr>
          <w:rFonts w:ascii="宋体" w:hAnsi="宋体" w:eastAsia="Arial" w:cs="宋体"/>
          <w:b/>
          <w:bCs/>
          <w:sz w:val="24"/>
          <w:szCs w:val="20"/>
        </w:rPr>
        <w:outlineLvl w:val="2"/>
      </w:pPr>
      <w:r>
        <w:rPr>
          <w:rFonts w:hint="eastAsia" w:ascii="宋体" w:hAnsi="宋体" w:eastAsia="宋体" w:cs="宋体"/>
          <w:b/>
          <w:bCs/>
          <w:sz w:val="24"/>
          <w:szCs w:val="20"/>
          <w:lang w:bidi="ar"/>
        </w:rPr>
        <w:t xml:space="preserve">一、技术要求</w:t>
      </w:r>
      <w:r/>
    </w:p>
    <w:p>
      <w:pPr>
        <w:ind w:firstLine="482"/>
        <w:spacing w:line="400" w:lineRule="exact"/>
        <w:widowControl/>
        <w:rPr>
          <w:rFonts w:ascii="Times New Roman" w:hAnsi="Times New Roman" w:eastAsia="宋体"/>
          <w:b/>
          <w:bCs/>
          <w:sz w:val="24"/>
          <w:szCs w:val="20"/>
        </w:rPr>
        <w:outlineLvl w:val="3"/>
      </w:pPr>
      <w:r>
        <w:rPr>
          <w:rFonts w:hint="eastAsia" w:ascii="Times New Roman" w:hAnsi="Times New Roman" w:eastAsia="宋体"/>
          <w:b/>
          <w:bCs/>
          <w:sz w:val="24"/>
          <w:szCs w:val="20"/>
          <w:lang w:bidi="ar"/>
        </w:rPr>
        <w:t xml:space="preserve">（一）建设内容</w:t>
      </w:r>
      <w:r/>
    </w:p>
    <w:p>
      <w:pPr>
        <w:ind w:firstLine="482"/>
        <w:spacing w:line="400" w:lineRule="exact"/>
        <w:widowControl/>
        <w:rPr>
          <w:rFonts w:ascii="Times New Roman" w:hAnsi="Times New Roman" w:eastAsia="宋体"/>
          <w:b/>
          <w:bCs/>
          <w:sz w:val="24"/>
          <w:szCs w:val="20"/>
        </w:rPr>
        <w:outlineLvl w:val="4"/>
      </w:pPr>
      <w:r>
        <w:rPr>
          <w:rFonts w:ascii="Times New Roman" w:hAnsi="Times New Roman" w:eastAsia="宋体"/>
          <w:b/>
          <w:bCs/>
          <w:sz w:val="24"/>
          <w:szCs w:val="20"/>
          <w:lang w:bidi="ar"/>
        </w:rPr>
        <w:t xml:space="preserve">1</w:t>
      </w:r>
      <w:r>
        <w:rPr>
          <w:rFonts w:hint="eastAsia" w:ascii="Times New Roman" w:hAnsi="Times New Roman" w:eastAsia="宋体"/>
          <w:b/>
          <w:bCs/>
          <w:sz w:val="24"/>
          <w:szCs w:val="20"/>
          <w:lang w:bidi="ar"/>
        </w:rPr>
        <w:t xml:space="preserve">．新建数据安全管理平台</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投标人建设覆盖数据安全管理全链条的数据安全管理平台，根据数据安全管理制度流程，对数据安全操作进行有效管控，对安全信息进行感知、研判、预警、展示和处置，建设与制度流程相配套并保证有效执行的采用数据安全能力技术和工具，实现对数据安全各环节的有效管控，健全公共数据平台安全技术体系。</w:t>
      </w:r>
      <w:r/>
    </w:p>
    <w:p>
      <w:pPr>
        <w:ind w:firstLine="482"/>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lang w:bidi="ar"/>
        </w:rPr>
        <w:t xml:space="preserve">（1）数据安全运营中心</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数据安全运营中心为数据安全防护、运营提供有力支撑，提供聚合态势呈现、风险预警、安全运营、应急响应等能力，贯穿典型的几大数据安全场景。数据安全运营平台支持数据分类分级、数据溯源分析、数据防泄露、数据水印及API接口审计等数据安全能力对接，实现数据在存储、使用、传输、共享等流转环节中的实时动态监测和保护，确保在生命周期中数据的机密性、完整性和可用性。包括但不限于：</w:t>
      </w:r>
      <w:r/>
    </w:p>
    <w:tbl>
      <w:tblPr>
        <w:tblStyle w:val="741"/>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9"/>
        <w:gridCol w:w="1442"/>
        <w:gridCol w:w="5995"/>
      </w:tblGrid>
      <w:tr>
        <w:trPr/>
        <w:tc>
          <w:tcPr>
            <w:tcBorders>
              <w:top w:val="single" w:color="auto" w:sz="4" w:space="0"/>
              <w:left w:val="single" w:color="auto" w:sz="4" w:space="0"/>
              <w:bottom w:val="single" w:color="auto" w:sz="4" w:space="0"/>
              <w:right w:val="single" w:color="auto" w:sz="4" w:space="0"/>
            </w:tcBorders>
            <w:tcW w:w="801" w:type="pct"/>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lang w:bidi="ar"/>
              </w:rPr>
              <w:t xml:space="preserve">功能模块</w:t>
            </w:r>
            <w:r/>
          </w:p>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lang w:bidi="ar"/>
              </w:rPr>
              <w:t xml:space="preserve">名称</w:t>
            </w:r>
            <w:r/>
          </w:p>
        </w:tc>
        <w:tc>
          <w:tcPr>
            <w:tcBorders>
              <w:top w:val="single" w:color="auto" w:sz="4" w:space="0"/>
              <w:left w:val="single" w:color="auto" w:sz="4" w:space="0"/>
              <w:bottom w:val="single" w:color="auto" w:sz="4" w:space="0"/>
              <w:right w:val="single" w:color="auto" w:sz="4" w:space="0"/>
            </w:tcBorders>
            <w:tcW w:w="814" w:type="pct"/>
            <w:textDirection w:val="lrTb"/>
            <w:noWrap w:val="false"/>
          </w:tcPr>
          <w:p>
            <w:pPr>
              <w:jc w:val="center"/>
              <w:spacing w:line="40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lang w:bidi="ar"/>
              </w:rPr>
              <w:t xml:space="preserve">子功能模块名称</w:t>
            </w:r>
            <w:r/>
          </w:p>
        </w:tc>
        <w:tc>
          <w:tcPr>
            <w:tcBorders>
              <w:top w:val="single" w:color="auto" w:sz="4" w:space="0"/>
              <w:left w:val="single" w:color="auto" w:sz="4" w:space="0"/>
              <w:bottom w:val="single" w:color="auto" w:sz="4" w:space="0"/>
              <w:right w:val="single" w:color="auto" w:sz="4" w:space="0"/>
            </w:tcBorders>
            <w:tcW w:w="3383" w:type="pct"/>
            <w:vAlign w:val="center"/>
            <w:textDirection w:val="lrTb"/>
            <w:noWrap w:val="false"/>
          </w:tcPr>
          <w:p>
            <w:pPr>
              <w:jc w:val="center"/>
              <w:widowControl/>
              <w:rPr>
                <w:rFonts w:hint="eastAsia" w:ascii="宋体" w:hAnsi="宋体" w:eastAsia="宋体" w:cs="宋体"/>
                <w:b/>
                <w:bCs/>
                <w:sz w:val="24"/>
                <w:szCs w:val="20"/>
              </w:rPr>
              <w:outlineLvl w:val="4"/>
            </w:pPr>
            <w:r>
              <w:rPr>
                <w:rFonts w:hint="eastAsia" w:ascii="宋体" w:hAnsi="宋体" w:eastAsia="宋体" w:cs="宋体"/>
                <w:b/>
                <w:bCs/>
                <w:sz w:val="24"/>
                <w:szCs w:val="20"/>
                <w:lang w:bidi="ar"/>
              </w:rPr>
              <w:t xml:space="preserve">功能要求</w:t>
            </w:r>
            <w:r/>
          </w:p>
        </w:tc>
      </w:tr>
      <w:tr>
        <w:trPr/>
        <w:tc>
          <w:tcPr>
            <w:tcBorders>
              <w:top w:val="single" w:color="auto" w:sz="4" w:space="0"/>
              <w:left w:val="single" w:color="auto" w:sz="4" w:space="0"/>
              <w:right w:val="single" w:color="auto" w:sz="4" w:space="0"/>
            </w:tcBorders>
            <w:tcW w:w="801" w:type="pct"/>
            <w:vMerge w:val="restart"/>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数据安全运营中心</w:t>
            </w:r>
            <w:r/>
          </w:p>
        </w:tc>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cs="宋体"/>
                <w:color w:val="000000"/>
                <w:szCs w:val="21"/>
                <w:lang w:bidi="ar"/>
              </w:rPr>
              <w:t xml:space="preserve">可视化中心</w:t>
            </w:r>
            <w:r/>
          </w:p>
        </w:tc>
        <w:tc>
          <w:tcPr>
            <w:tcBorders>
              <w:top w:val="single" w:color="auto" w:sz="4" w:space="0"/>
              <w:left w:val="single" w:color="auto" w:sz="4" w:space="0"/>
              <w:bottom w:val="single" w:color="auto" w:sz="4" w:space="0"/>
              <w:right w:val="single" w:color="auto" w:sz="4" w:space="0"/>
            </w:tcBorders>
            <w:tcW w:w="3383" w:type="pct"/>
            <w:textDirection w:val="lrTb"/>
            <w:noWrap w:val="false"/>
          </w:tcPr>
          <w:p>
            <w:pPr>
              <w:jc w:val="left"/>
              <w:spacing w:line="400" w:lineRule="exact"/>
              <w:widowControl/>
              <w:rPr>
                <w:rFonts w:hint="eastAsia" w:ascii="宋体" w:hAnsi="宋体" w:cs="宋体"/>
                <w:szCs w:val="21"/>
                <w:lang w:bidi="ar"/>
              </w:rPr>
            </w:pPr>
            <w:r>
              <w:rPr>
                <w:rFonts w:hint="eastAsia" w:ascii="宋体" w:hAnsi="宋体" w:cs="宋体"/>
                <w:szCs w:val="21"/>
                <w:lang w:bidi="ar"/>
              </w:rPr>
              <w:t xml:space="preserve">功能要求：</w:t>
            </w:r>
            <w:r/>
          </w:p>
          <w:p>
            <w:pPr>
              <w:jc w:val="left"/>
              <w:spacing w:line="400" w:lineRule="exact"/>
              <w:widowControl/>
              <w:rPr>
                <w:rFonts w:hint="eastAsia" w:ascii="宋体" w:hAnsi="宋体" w:eastAsia="宋体" w:cs="宋体"/>
                <w:color w:val="000000"/>
                <w:szCs w:val="21"/>
                <w:lang w:bidi="ar"/>
              </w:rPr>
            </w:pPr>
            <w:r>
              <w:rPr>
                <w:rFonts w:hint="eastAsia" w:ascii="宋体" w:hAnsi="宋体" w:cs="宋体"/>
                <w:szCs w:val="21"/>
                <w:lang w:bidi="ar"/>
              </w:rPr>
              <w:t xml:space="preserve">需支持可视化中心，至少具备敏感数据分布视图、数据安全事件视图、数据安全风险视图和运营处置工单视图等。包括统计敏感数据分布、统计数据安全事件、统计数据安全风险、统计运营处置工单等功能。</w:t>
            </w:r>
            <w:r/>
          </w:p>
        </w:tc>
      </w:tr>
      <w:tr>
        <w:trPr/>
        <w:tc>
          <w:tcPr>
            <w:tcBorders>
              <w:left w:val="single" w:color="auto" w:sz="4" w:space="0"/>
              <w:right w:val="single" w:color="auto" w:sz="4" w:space="0"/>
            </w:tcBorders>
            <w:tcW w:w="801" w:type="pct"/>
            <w:vMerge w:val="continue"/>
            <w:textDirection w:val="lrTb"/>
            <w:noWrap w:val="false"/>
          </w:tcPr>
          <w:p>
            <w:pPr>
              <w:rPr>
                <w:rFonts w:ascii="Calibri" w:hAnsi="Calibri" w:eastAsia="宋体" w:cs="Calibri"/>
                <w:sz w:val="20"/>
                <w:szCs w:val="20"/>
              </w:rPr>
            </w:pPr>
            <w:r>
              <w:rPr>
                <w:rFonts w:ascii="Calibri" w:hAnsi="Calibri" w:eastAsia="宋体" w:cs="Calibri"/>
                <w:sz w:val="20"/>
                <w:szCs w:val="20"/>
              </w:rPr>
            </w:r>
            <w:r/>
          </w:p>
        </w:tc>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cs="宋体"/>
                <w:color w:val="000000"/>
                <w:szCs w:val="21"/>
                <w:lang w:bidi="ar"/>
              </w:rPr>
              <w:t xml:space="preserve">运维流程管理</w:t>
            </w:r>
            <w:r/>
          </w:p>
        </w:tc>
        <w:tc>
          <w:tcPr>
            <w:tcBorders>
              <w:top w:val="single" w:color="auto" w:sz="4" w:space="0"/>
              <w:left w:val="single" w:color="auto" w:sz="4" w:space="0"/>
              <w:bottom w:val="single" w:color="auto" w:sz="4" w:space="0"/>
              <w:right w:val="single" w:color="auto" w:sz="4" w:space="0"/>
            </w:tcBorders>
            <w:tcW w:w="3383" w:type="pct"/>
            <w:textDirection w:val="lrTb"/>
            <w:noWrap w:val="false"/>
          </w:tcPr>
          <w:p>
            <w:pPr>
              <w:jc w:val="left"/>
              <w:spacing w:line="400" w:lineRule="exact"/>
              <w:widowControl/>
              <w:rPr>
                <w:rFonts w:hint="eastAsia" w:ascii="宋体" w:hAnsi="宋体" w:cs="宋体"/>
                <w:szCs w:val="21"/>
                <w:lang w:bidi="ar"/>
              </w:rPr>
            </w:pPr>
            <w:r>
              <w:rPr>
                <w:rFonts w:hint="eastAsia" w:ascii="宋体" w:hAnsi="宋体" w:cs="宋体"/>
                <w:szCs w:val="21"/>
                <w:lang w:bidi="ar"/>
              </w:rPr>
              <w:t xml:space="preserve">功能要求：</w:t>
            </w:r>
            <w:r/>
          </w:p>
          <w:p>
            <w:pPr>
              <w:jc w:val="left"/>
              <w:spacing w:line="400" w:lineRule="exact"/>
              <w:widowControl/>
              <w:rPr>
                <w:rFonts w:hint="eastAsia" w:ascii="宋体" w:hAnsi="宋体" w:eastAsia="宋体" w:cs="宋体"/>
                <w:color w:val="000000"/>
                <w:szCs w:val="21"/>
                <w:lang w:bidi="ar"/>
              </w:rPr>
            </w:pPr>
            <w:r>
              <w:rPr>
                <w:rFonts w:hint="eastAsia" w:ascii="宋体" w:hAnsi="宋体" w:cs="宋体"/>
                <w:szCs w:val="21"/>
                <w:lang w:bidi="ar"/>
              </w:rPr>
              <w:t xml:space="preserve">需根据市公共数据平台实际业务流程和安全运营管理需求，提供数据安全事件管理流程等，需满足不同数据安全事件的处置、跟踪等，可对系统故障，系统问题等进行数据安全事件工单发起，由管理员进行审批，记录日常数据安全事件事项。需呈现各个数据安全事件工单各个阶段审批情况，记录审批细节，执行时间，执行状态等。提供相关报表的模板配置，包括安全建议、告警数据、安全风险数据、安全事件数据、告警详述、安全风险详述、安全事件详述，提供下载报表等功能。</w:t>
            </w:r>
            <w:r/>
          </w:p>
        </w:tc>
      </w:tr>
      <w:tr>
        <w:trPr/>
        <w:tc>
          <w:tcPr>
            <w:tcBorders>
              <w:left w:val="single" w:color="auto" w:sz="4" w:space="0"/>
              <w:right w:val="single" w:color="auto" w:sz="4" w:space="0"/>
            </w:tcBorders>
            <w:tcW w:w="801" w:type="pct"/>
            <w:vMerge w:val="continue"/>
            <w:textDirection w:val="lrTb"/>
            <w:noWrap w:val="false"/>
          </w:tcPr>
          <w:p>
            <w:pPr>
              <w:rPr>
                <w:rFonts w:ascii="Calibri" w:hAnsi="Calibri" w:eastAsia="宋体" w:cs="Calibri"/>
                <w:sz w:val="20"/>
                <w:szCs w:val="20"/>
              </w:rPr>
            </w:pPr>
            <w:r>
              <w:rPr>
                <w:rFonts w:ascii="Calibri" w:hAnsi="Calibri" w:eastAsia="宋体" w:cs="Calibri"/>
                <w:sz w:val="20"/>
                <w:szCs w:val="20"/>
              </w:rPr>
            </w:r>
            <w:r/>
          </w:p>
        </w:tc>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cs="宋体"/>
                <w:color w:val="000000"/>
                <w:szCs w:val="21"/>
                <w:lang w:bidi="ar"/>
              </w:rPr>
              <w:t xml:space="preserve">安全合规管理</w:t>
            </w:r>
            <w:r/>
          </w:p>
        </w:tc>
        <w:tc>
          <w:tcPr>
            <w:tcBorders>
              <w:top w:val="single" w:color="auto" w:sz="4" w:space="0"/>
              <w:left w:val="single" w:color="auto" w:sz="4" w:space="0"/>
              <w:bottom w:val="single" w:color="auto" w:sz="4" w:space="0"/>
              <w:right w:val="single" w:color="auto" w:sz="4" w:space="0"/>
            </w:tcBorders>
            <w:tcW w:w="3383" w:type="pct"/>
            <w:textDirection w:val="lrTb"/>
            <w:noWrap w:val="false"/>
          </w:tcPr>
          <w:p>
            <w:pPr>
              <w:jc w:val="left"/>
              <w:spacing w:line="400" w:lineRule="exact"/>
              <w:widowControl/>
              <w:rPr>
                <w:rFonts w:hint="eastAsia" w:ascii="宋体" w:hAnsi="宋体" w:cs="宋体"/>
                <w:szCs w:val="21"/>
                <w:lang w:bidi="ar"/>
              </w:rPr>
            </w:pPr>
            <w:r>
              <w:rPr>
                <w:rFonts w:hint="eastAsia" w:ascii="宋体" w:hAnsi="宋体" w:cs="宋体"/>
                <w:szCs w:val="21"/>
                <w:lang w:bidi="ar"/>
              </w:rPr>
              <w:t xml:space="preserve">功能要求：</w:t>
            </w:r>
            <w:r/>
          </w:p>
          <w:p>
            <w:pPr>
              <w:jc w:val="left"/>
              <w:spacing w:line="400" w:lineRule="exact"/>
              <w:widowControl/>
              <w:rPr>
                <w:rFonts w:hint="eastAsia" w:ascii="宋体" w:hAnsi="宋体" w:eastAsia="宋体" w:cs="宋体"/>
                <w:color w:val="000000"/>
                <w:szCs w:val="21"/>
                <w:lang w:bidi="ar"/>
              </w:rPr>
            </w:pPr>
            <w:r>
              <w:rPr>
                <w:rFonts w:hint="eastAsia" w:ascii="宋体" w:hAnsi="宋体" w:cs="宋体"/>
                <w:szCs w:val="21"/>
                <w:lang w:bidi="ar"/>
              </w:rPr>
              <w:t xml:space="preserve">需提供标准依据模块，提供相关法律法规、标准以及业务要求准确定义敏感数据内容。系统需支持对规范文件的更新操作，新增文件可以入库至合规协议中。需支持对技术合规要求进行展现。包括规范名称、标准文件、合规描述等功能。</w:t>
            </w:r>
            <w:r/>
          </w:p>
        </w:tc>
      </w:tr>
      <w:tr>
        <w:trPr/>
        <w:tc>
          <w:tcPr>
            <w:tcBorders>
              <w:left w:val="single" w:color="auto" w:sz="4" w:space="0"/>
              <w:right w:val="single" w:color="auto" w:sz="4" w:space="0"/>
            </w:tcBorders>
            <w:tcW w:w="801" w:type="pct"/>
            <w:vMerge w:val="continue"/>
            <w:textDirection w:val="lrTb"/>
            <w:noWrap w:val="false"/>
          </w:tcPr>
          <w:p>
            <w:pPr>
              <w:rPr>
                <w:rFonts w:ascii="Calibri" w:hAnsi="Calibri" w:eastAsia="宋体" w:cs="Calibri"/>
                <w:sz w:val="20"/>
                <w:szCs w:val="20"/>
              </w:rPr>
            </w:pPr>
            <w:r>
              <w:rPr>
                <w:rFonts w:ascii="Calibri" w:hAnsi="Calibri" w:eastAsia="宋体" w:cs="Calibri"/>
                <w:sz w:val="20"/>
                <w:szCs w:val="20"/>
              </w:rPr>
            </w:r>
            <w:r/>
          </w:p>
        </w:tc>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cs="宋体"/>
                <w:color w:val="000000"/>
                <w:szCs w:val="21"/>
                <w:lang w:bidi="ar"/>
              </w:rPr>
              <w:t xml:space="preserve">监控预警管理</w:t>
            </w:r>
            <w:r/>
          </w:p>
        </w:tc>
        <w:tc>
          <w:tcPr>
            <w:tcBorders>
              <w:top w:val="single" w:color="auto" w:sz="4" w:space="0"/>
              <w:left w:val="single" w:color="auto" w:sz="4" w:space="0"/>
              <w:bottom w:val="single" w:color="auto" w:sz="4" w:space="0"/>
              <w:right w:val="single" w:color="auto" w:sz="4" w:space="0"/>
            </w:tcBorders>
            <w:tcW w:w="3383" w:type="pct"/>
            <w:textDirection w:val="lrTb"/>
            <w:noWrap w:val="false"/>
          </w:tcPr>
          <w:p>
            <w:pPr>
              <w:jc w:val="left"/>
              <w:spacing w:line="400" w:lineRule="exact"/>
              <w:widowControl/>
              <w:rPr>
                <w:rFonts w:hint="eastAsia" w:ascii="宋体" w:hAnsi="宋体" w:cs="宋体"/>
                <w:szCs w:val="21"/>
                <w:lang w:bidi="ar"/>
              </w:rPr>
            </w:pPr>
            <w:r>
              <w:rPr>
                <w:rFonts w:hint="eastAsia" w:ascii="宋体" w:hAnsi="宋体" w:cs="宋体"/>
                <w:szCs w:val="21"/>
                <w:lang w:bidi="ar"/>
              </w:rPr>
              <w:t xml:space="preserve">功能要求：</w:t>
            </w:r>
            <w:r/>
          </w:p>
          <w:p>
            <w:pPr>
              <w:jc w:val="left"/>
              <w:spacing w:line="400" w:lineRule="exact"/>
              <w:widowControl/>
              <w:rPr>
                <w:rFonts w:hint="eastAsia" w:ascii="宋体" w:hAnsi="宋体" w:eastAsia="宋体" w:cs="宋体"/>
                <w:color w:val="000000"/>
                <w:szCs w:val="21"/>
                <w:lang w:bidi="ar"/>
              </w:rPr>
            </w:pPr>
            <w:r>
              <w:rPr>
                <w:rFonts w:hint="eastAsia" w:ascii="宋体" w:hAnsi="宋体" w:cs="宋体"/>
                <w:szCs w:val="21"/>
                <w:lang w:bidi="ar"/>
              </w:rPr>
              <w:t xml:space="preserve">需对数据安全运营中的数据资产、风险账号、风险事件等进行监控告警，可根据实际业务需求，进行风险规则配置。支持系统对事件信息提供丰富的查询功能。事件详情展示事件的详细信息和敏感数据片段。需支持通过邮件等方式进行数据泄露事件进行预警通知。包括数据资产预警、业务系统预警、风险账号预警、风险事件预警、风险预警规则、告警信息等功能。</w:t>
            </w:r>
            <w:r/>
          </w:p>
        </w:tc>
      </w:tr>
      <w:tr>
        <w:trPr/>
        <w:tc>
          <w:tcPr>
            <w:tcBorders>
              <w:left w:val="single" w:color="auto" w:sz="4" w:space="0"/>
              <w:right w:val="single" w:color="auto" w:sz="4" w:space="0"/>
            </w:tcBorders>
            <w:tcW w:w="801" w:type="pct"/>
            <w:vMerge w:val="continue"/>
            <w:textDirection w:val="lrTb"/>
            <w:noWrap w:val="false"/>
          </w:tcPr>
          <w:p>
            <w:pPr>
              <w:rPr>
                <w:rFonts w:ascii="Calibri" w:hAnsi="Calibri" w:eastAsia="宋体" w:cs="Calibri"/>
                <w:sz w:val="20"/>
                <w:szCs w:val="20"/>
              </w:rPr>
            </w:pPr>
            <w:r>
              <w:rPr>
                <w:rFonts w:ascii="Calibri" w:hAnsi="Calibri" w:eastAsia="宋体" w:cs="Calibri"/>
                <w:sz w:val="20"/>
                <w:szCs w:val="20"/>
              </w:rPr>
            </w:r>
            <w:r/>
          </w:p>
        </w:tc>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cs="宋体"/>
                <w:color w:val="000000"/>
                <w:szCs w:val="21"/>
                <w:lang w:bidi="ar"/>
              </w:rPr>
              <w:t xml:space="preserve">应急响应管理</w:t>
            </w:r>
            <w:r/>
          </w:p>
        </w:tc>
        <w:tc>
          <w:tcPr>
            <w:tcBorders>
              <w:top w:val="single" w:color="auto" w:sz="4" w:space="0"/>
              <w:left w:val="single" w:color="auto" w:sz="4" w:space="0"/>
              <w:bottom w:val="single" w:color="auto" w:sz="4" w:space="0"/>
              <w:right w:val="single" w:color="auto" w:sz="4" w:space="0"/>
            </w:tcBorders>
            <w:tcW w:w="3383" w:type="pct"/>
            <w:textDirection w:val="lrTb"/>
            <w:noWrap w:val="false"/>
          </w:tcPr>
          <w:p>
            <w:pPr>
              <w:jc w:val="left"/>
              <w:spacing w:line="400" w:lineRule="exact"/>
              <w:widowControl/>
              <w:rPr>
                <w:rFonts w:hint="eastAsia" w:ascii="宋体" w:hAnsi="宋体" w:cs="宋体"/>
                <w:szCs w:val="21"/>
                <w:lang w:bidi="ar"/>
              </w:rPr>
            </w:pPr>
            <w:r>
              <w:rPr>
                <w:rFonts w:hint="eastAsia" w:ascii="宋体" w:hAnsi="宋体" w:cs="宋体"/>
                <w:szCs w:val="21"/>
                <w:lang w:bidi="ar"/>
              </w:rPr>
              <w:t xml:space="preserve">功能要求：</w:t>
            </w:r>
            <w:r/>
          </w:p>
          <w:p>
            <w:pPr>
              <w:jc w:val="left"/>
              <w:spacing w:line="400" w:lineRule="exact"/>
              <w:widowControl/>
              <w:rPr>
                <w:rFonts w:hint="eastAsia" w:ascii="宋体" w:hAnsi="宋体" w:eastAsia="宋体" w:cs="宋体"/>
                <w:color w:val="000000"/>
                <w:szCs w:val="21"/>
                <w:lang w:bidi="ar"/>
              </w:rPr>
            </w:pPr>
            <w:r>
              <w:rPr>
                <w:rFonts w:hint="eastAsia" w:ascii="宋体" w:hAnsi="宋体" w:cs="宋体"/>
                <w:szCs w:val="21"/>
                <w:lang w:bidi="ar"/>
              </w:rPr>
              <w:t xml:space="preserve">根据数据安全事件的动态数据，汇总数据安全事件相关信息，分析事件类型、事件级别，对数据安全事件进行综合分析，形成能够支撑应急指挥的基础数据。支持通过邮件等方式对数据泄露事件进行预警通知。包括统计数据安全事件综合情况、预警通知等功能。</w:t>
            </w:r>
            <w:r/>
          </w:p>
        </w:tc>
      </w:tr>
      <w:tr>
        <w:trPr/>
        <w:tc>
          <w:tcPr>
            <w:tcBorders>
              <w:left w:val="single" w:color="auto" w:sz="4" w:space="0"/>
              <w:right w:val="single" w:color="auto" w:sz="4" w:space="0"/>
            </w:tcBorders>
            <w:tcW w:w="801" w:type="pct"/>
            <w:vMerge w:val="continue"/>
            <w:textDirection w:val="lrTb"/>
            <w:noWrap w:val="false"/>
          </w:tcPr>
          <w:p>
            <w:pPr>
              <w:rPr>
                <w:rFonts w:ascii="Calibri" w:hAnsi="Calibri" w:eastAsia="宋体" w:cs="Calibri"/>
                <w:sz w:val="20"/>
                <w:szCs w:val="20"/>
              </w:rPr>
            </w:pPr>
            <w:r>
              <w:rPr>
                <w:rFonts w:ascii="Calibri" w:hAnsi="Calibri" w:eastAsia="宋体" w:cs="Calibri"/>
                <w:sz w:val="20"/>
                <w:szCs w:val="20"/>
              </w:rPr>
            </w:r>
            <w:r/>
          </w:p>
        </w:tc>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cs="宋体"/>
                <w:color w:val="000000"/>
                <w:szCs w:val="21"/>
                <w:lang w:bidi="ar"/>
              </w:rPr>
              <w:t xml:space="preserve">操作回放</w:t>
            </w:r>
            <w:r/>
          </w:p>
        </w:tc>
        <w:tc>
          <w:tcPr>
            <w:tcBorders>
              <w:top w:val="single" w:color="auto" w:sz="4" w:space="0"/>
              <w:left w:val="single" w:color="auto" w:sz="4" w:space="0"/>
              <w:bottom w:val="single" w:color="auto" w:sz="4" w:space="0"/>
              <w:right w:val="single" w:color="auto" w:sz="4" w:space="0"/>
            </w:tcBorders>
            <w:tcW w:w="3383" w:type="pct"/>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cs="宋体"/>
                <w:szCs w:val="21"/>
                <w:lang w:bidi="ar"/>
              </w:rPr>
              <w:t xml:space="preserve">提供操作回放工具，能够基于主机IP对主机操作行为进行分析，通过时间轴动态推进的方式进行追踪回溯，支持对高危违规行为进行标记筛选，辅助运营人员精准、快速开展运营处置工作。</w:t>
            </w:r>
            <w:r/>
          </w:p>
        </w:tc>
      </w:tr>
      <w:tr>
        <w:trPr/>
        <w:tc>
          <w:tcPr>
            <w:tcBorders>
              <w:left w:val="single" w:color="auto" w:sz="4" w:space="0"/>
              <w:bottom w:val="single" w:color="auto" w:sz="4" w:space="0"/>
              <w:right w:val="single" w:color="auto" w:sz="4" w:space="0"/>
            </w:tcBorders>
            <w:tcW w:w="801" w:type="pct"/>
            <w:vMerge w:val="continue"/>
            <w:textDirection w:val="lrTb"/>
            <w:noWrap w:val="false"/>
          </w:tcPr>
          <w:p>
            <w:pPr>
              <w:rPr>
                <w:rFonts w:ascii="Calibri" w:hAnsi="Calibri" w:eastAsia="宋体" w:cs="Calibri"/>
                <w:sz w:val="20"/>
                <w:szCs w:val="20"/>
              </w:rPr>
            </w:pPr>
            <w:r>
              <w:rPr>
                <w:rFonts w:ascii="Calibri" w:hAnsi="Calibri" w:eastAsia="宋体" w:cs="Calibri"/>
                <w:sz w:val="20"/>
                <w:szCs w:val="20"/>
              </w:rPr>
            </w:r>
            <w:r/>
          </w:p>
        </w:tc>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left"/>
              <w:spacing w:line="400" w:lineRule="exact"/>
              <w:widowControl/>
              <w:rPr>
                <w:rFonts w:hint="eastAsia" w:ascii="宋体" w:hAnsi="宋体" w:eastAsia="宋体" w:cs="宋体"/>
                <w:color w:val="000000"/>
                <w:szCs w:val="21"/>
                <w:lang w:bidi="ar"/>
              </w:rPr>
            </w:pPr>
            <w:r>
              <w:rPr>
                <w:rFonts w:hint="eastAsia" w:ascii="宋体" w:hAnsi="宋体" w:cs="宋体"/>
                <w:color w:val="000000"/>
                <w:szCs w:val="21"/>
                <w:lang w:bidi="ar"/>
              </w:rPr>
              <w:t xml:space="preserve">关联策略管理</w:t>
            </w:r>
            <w:r/>
          </w:p>
        </w:tc>
        <w:tc>
          <w:tcPr>
            <w:tcBorders>
              <w:top w:val="single" w:color="auto" w:sz="4" w:space="0"/>
              <w:left w:val="single" w:color="auto" w:sz="4" w:space="0"/>
              <w:bottom w:val="single" w:color="auto" w:sz="4" w:space="0"/>
              <w:right w:val="single" w:color="auto" w:sz="4" w:space="0"/>
            </w:tcBorders>
            <w:tcW w:w="3383" w:type="pct"/>
            <w:textDirection w:val="lrTb"/>
            <w:noWrap w:val="false"/>
          </w:tcPr>
          <w:p>
            <w:pPr>
              <w:jc w:val="left"/>
              <w:spacing w:line="400" w:lineRule="exact"/>
              <w:widowControl/>
              <w:rPr>
                <w:rFonts w:hint="eastAsia" w:ascii="宋体" w:hAnsi="宋体" w:cs="宋体"/>
                <w:szCs w:val="21"/>
                <w:lang w:bidi="ar"/>
              </w:rPr>
            </w:pPr>
            <w:r>
              <w:rPr>
                <w:rFonts w:hint="eastAsia" w:ascii="宋体" w:hAnsi="宋体" w:cs="宋体"/>
                <w:szCs w:val="21"/>
                <w:lang w:bidi="ar"/>
              </w:rPr>
              <w:t xml:space="preserve">功能要求：</w:t>
            </w:r>
            <w:r/>
          </w:p>
          <w:p>
            <w:pPr>
              <w:jc w:val="left"/>
              <w:spacing w:line="400" w:lineRule="exact"/>
              <w:widowControl/>
              <w:rPr>
                <w:rFonts w:hint="eastAsia" w:ascii="宋体" w:hAnsi="宋体" w:eastAsia="宋体" w:cs="宋体"/>
                <w:color w:val="000000"/>
                <w:szCs w:val="21"/>
                <w:lang w:bidi="ar"/>
              </w:rPr>
            </w:pPr>
            <w:r>
              <w:rPr>
                <w:rFonts w:hint="eastAsia" w:ascii="宋体" w:hAnsi="宋体" w:cs="宋体"/>
                <w:szCs w:val="21"/>
                <w:lang w:bidi="ar"/>
              </w:rPr>
              <w:t xml:space="preserve">基于业务需求设定运营关联策略，能够通过定义不同级别、不同名称的告警信息生成的事件情况及其关联的处置工作流，发生告警时，通过触发风险后自动研判的方式生成数据安全事件，自动推荐运营工作流，定位到处置人员，提高安全事件运营处置效率。支持优先级配置，当策略冲突时按照高优先级的方式命中处理。</w:t>
            </w:r>
            <w:r/>
          </w:p>
        </w:tc>
      </w:tr>
    </w:tbl>
    <w:p>
      <w:pPr>
        <w:ind w:firstLine="482"/>
        <w:spacing w:line="560" w:lineRule="exact"/>
        <w:widowControl/>
        <w:rPr>
          <w:rFonts w:hint="eastAsia" w:ascii="宋体" w:hAnsi="宋体" w:eastAsia="宋体" w:cs="宋体"/>
          <w:b/>
          <w:bCs/>
          <w:sz w:val="24"/>
          <w:szCs w:val="20"/>
          <w:lang w:bidi="ar"/>
        </w:rPr>
        <w:outlineLvl w:val="5"/>
      </w:pPr>
      <w:r>
        <w:rPr>
          <w:rFonts w:hint="eastAsia" w:ascii="宋体" w:hAnsi="宋体" w:eastAsia="宋体" w:cs="宋体"/>
          <w:b/>
          <w:bCs/>
          <w:sz w:val="24"/>
          <w:szCs w:val="20"/>
          <w:lang w:bidi="ar"/>
        </w:rPr>
        <w:t xml:space="preserve">（2）数据安全防护产品</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提供数据分类分级、数据溯源分析、终端数据防泄漏、数据水印、API接口审计等数据安全防护产品，包括但不限于：</w:t>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2"/>
        <w:gridCol w:w="1459"/>
        <w:gridCol w:w="5975"/>
      </w:tblGrid>
      <w:tr>
        <w:trPr/>
        <w:tc>
          <w:tcPr>
            <w:tcBorders>
              <w:top w:val="single" w:color="auto" w:sz="4" w:space="0"/>
              <w:left w:val="single" w:color="auto" w:sz="4" w:space="0"/>
              <w:bottom w:val="single" w:color="auto" w:sz="4" w:space="0"/>
              <w:right w:val="single" w:color="auto" w:sz="4" w:space="0"/>
            </w:tcBorders>
            <w:tcW w:w="1473" w:type="dxa"/>
            <w:textDirection w:val="lrTb"/>
            <w:noWrap w:val="false"/>
          </w:tcPr>
          <w:p>
            <w:pPr>
              <w:jc w:val="center"/>
              <w:widowControl/>
              <w:rPr>
                <w:rFonts w:hint="eastAsia" w:ascii="宋体" w:hAnsi="宋体" w:eastAsia="宋体" w:cs="宋体"/>
                <w:b/>
                <w:bCs/>
                <w:sz w:val="24"/>
                <w:szCs w:val="20"/>
              </w:rPr>
              <w:outlineLvl w:val="4"/>
            </w:pPr>
            <w:r>
              <w:rPr>
                <w:rFonts w:hint="eastAsia" w:ascii="宋体" w:hAnsi="宋体" w:eastAsia="宋体" w:cs="宋体"/>
                <w:b/>
                <w:bCs/>
                <w:sz w:val="24"/>
                <w:szCs w:val="20"/>
                <w:lang w:bidi="ar"/>
              </w:rPr>
              <w:t xml:space="preserve">功能模块</w:t>
            </w:r>
            <w:r/>
          </w:p>
          <w:p>
            <w:pPr>
              <w:jc w:val="center"/>
              <w:widowControl/>
              <w:rPr>
                <w:rFonts w:hint="eastAsia" w:ascii="宋体" w:hAnsi="宋体" w:eastAsia="宋体" w:cs="宋体"/>
                <w:b/>
                <w:bCs/>
                <w:sz w:val="24"/>
                <w:szCs w:val="20"/>
              </w:rPr>
              <w:outlineLvl w:val="4"/>
            </w:pPr>
            <w:r>
              <w:rPr>
                <w:rFonts w:hint="eastAsia" w:ascii="宋体" w:hAnsi="宋体" w:eastAsia="宋体" w:cs="宋体"/>
                <w:b/>
                <w:bCs/>
                <w:sz w:val="24"/>
                <w:szCs w:val="20"/>
                <w:lang w:bidi="ar"/>
              </w:rPr>
              <w:t xml:space="preserve">名称</w:t>
            </w:r>
            <w:r/>
          </w:p>
        </w:tc>
        <w:tc>
          <w:tcPr>
            <w:tcBorders>
              <w:top w:val="single" w:color="auto" w:sz="4" w:space="0"/>
              <w:left w:val="single" w:color="auto" w:sz="4" w:space="0"/>
              <w:bottom w:val="single" w:color="auto" w:sz="4" w:space="0"/>
              <w:right w:val="single" w:color="auto" w:sz="4" w:space="0"/>
            </w:tcBorders>
            <w:tcW w:w="1508" w:type="dxa"/>
            <w:textDirection w:val="lrTb"/>
            <w:noWrap w:val="false"/>
          </w:tcPr>
          <w:p>
            <w:pPr>
              <w:jc w:val="center"/>
              <w:widowControl/>
              <w:rPr>
                <w:rFonts w:hint="eastAsia" w:ascii="宋体" w:hAnsi="宋体" w:eastAsia="宋体" w:cs="宋体"/>
                <w:b/>
                <w:bCs/>
                <w:sz w:val="24"/>
                <w:szCs w:val="20"/>
              </w:rPr>
              <w:outlineLvl w:val="4"/>
            </w:pPr>
            <w:r>
              <w:rPr>
                <w:rFonts w:hint="eastAsia" w:ascii="宋体" w:hAnsi="宋体" w:eastAsia="宋体" w:cs="宋体"/>
                <w:b/>
                <w:bCs/>
                <w:sz w:val="24"/>
                <w:szCs w:val="20"/>
                <w:lang w:bidi="ar"/>
              </w:rPr>
              <w:t xml:space="preserve">子功能模块</w:t>
            </w:r>
            <w:r/>
          </w:p>
          <w:p>
            <w:pPr>
              <w:jc w:val="center"/>
              <w:widowControl/>
              <w:rPr>
                <w:rFonts w:hint="eastAsia" w:ascii="宋体" w:hAnsi="宋体" w:eastAsia="宋体" w:cs="宋体"/>
                <w:b/>
                <w:bCs/>
                <w:sz w:val="24"/>
                <w:szCs w:val="20"/>
              </w:rPr>
              <w:outlineLvl w:val="4"/>
            </w:pPr>
            <w:r>
              <w:rPr>
                <w:rFonts w:hint="eastAsia" w:ascii="宋体" w:hAnsi="宋体" w:eastAsia="宋体" w:cs="宋体"/>
                <w:b/>
                <w:bCs/>
                <w:sz w:val="24"/>
                <w:szCs w:val="20"/>
                <w:lang w:bidi="ar"/>
              </w:rPr>
              <w:t xml:space="preserve">名称</w:t>
            </w:r>
            <w:r/>
          </w:p>
        </w:tc>
        <w:tc>
          <w:tcPr>
            <w:tcBorders>
              <w:top w:val="single" w:color="auto" w:sz="4" w:space="0"/>
              <w:left w:val="single" w:color="auto" w:sz="4" w:space="0"/>
              <w:bottom w:val="single" w:color="auto" w:sz="4" w:space="0"/>
              <w:right w:val="single" w:color="auto" w:sz="4" w:space="0"/>
            </w:tcBorders>
            <w:tcW w:w="6242" w:type="dxa"/>
            <w:textDirection w:val="lrTb"/>
            <w:noWrap w:val="false"/>
          </w:tcPr>
          <w:p>
            <w:pPr>
              <w:jc w:val="center"/>
              <w:widowControl/>
              <w:rPr>
                <w:rFonts w:hint="eastAsia" w:ascii="宋体" w:hAnsi="宋体" w:eastAsia="宋体" w:cs="宋体"/>
                <w:b/>
                <w:bCs/>
                <w:sz w:val="24"/>
                <w:szCs w:val="20"/>
              </w:rPr>
              <w:outlineLvl w:val="4"/>
            </w:pPr>
            <w:r>
              <w:rPr>
                <w:rFonts w:hint="eastAsia" w:ascii="宋体" w:hAnsi="宋体" w:eastAsia="宋体" w:cs="宋体"/>
                <w:b/>
                <w:bCs/>
                <w:sz w:val="24"/>
                <w:szCs w:val="20"/>
                <w:lang w:bidi="ar"/>
              </w:rPr>
              <w:t xml:space="preserve">功能要求</w:t>
            </w:r>
            <w:r/>
          </w:p>
        </w:tc>
      </w:tr>
      <w:tr>
        <w:trPr/>
        <w:tc>
          <w:tcPr>
            <w:tcBorders>
              <w:top w:val="single" w:color="auto" w:sz="4" w:space="0"/>
              <w:left w:val="single" w:color="auto" w:sz="4" w:space="0"/>
              <w:bottom w:val="single" w:color="auto" w:sz="4" w:space="0"/>
              <w:right w:val="single" w:color="auto" w:sz="4" w:space="0"/>
            </w:tcBorders>
            <w:tcW w:w="1473" w:type="dxa"/>
            <w:vMerge w:val="restart"/>
            <w:textDirection w:val="lrTb"/>
            <w:noWrap w:val="false"/>
          </w:tcPr>
          <w:p>
            <w:pPr>
              <w:spacing w:line="40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数据安全防护产品</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数据分类分级管理产品</w:t>
            </w:r>
            <w:r/>
          </w:p>
        </w:tc>
        <w:tc>
          <w:tcPr>
            <w:tcBorders>
              <w:top w:val="single" w:color="auto" w:sz="4" w:space="0"/>
              <w:left w:val="single" w:color="auto" w:sz="4" w:space="0"/>
              <w:bottom w:val="single" w:color="auto" w:sz="4" w:space="0"/>
              <w:right w:val="single" w:color="auto" w:sz="4" w:space="0"/>
            </w:tcBorders>
            <w:tcW w:w="6242" w:type="dxa"/>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功能要求：</w:t>
            </w:r>
            <w:r/>
          </w:p>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根据行业标准或者自身业务场景、数据价值、数据影响、数据用途、数据来源等确定数据分类分级标准，形成专属标签库，利用AI智能标注与人工核验相结合方式，进行数据分类分级。主要包括数据源管理、分类分级管理、敏感数据识别、安全策略管理。</w:t>
            </w:r>
            <w:r/>
          </w:p>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性能参数：</w:t>
            </w:r>
            <w:r/>
          </w:p>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支持表≥3000张；支持字段≥20000个。</w:t>
            </w:r>
            <w:r/>
          </w:p>
        </w:tc>
      </w:tr>
      <w:tr>
        <w:trPr/>
        <w:tc>
          <w:tcPr>
            <w:tcBorders>
              <w:top w:val="single" w:color="auto" w:sz="4" w:space="0"/>
              <w:left w:val="single" w:color="auto" w:sz="4" w:space="0"/>
              <w:bottom w:val="single" w:color="auto" w:sz="4" w:space="0"/>
              <w:right w:val="single" w:color="auto" w:sz="4" w:space="0"/>
            </w:tcBorders>
            <w:tcW w:w="1473" w:type="dxa"/>
            <w:vMerge w:val="continue"/>
            <w:textDirection w:val="lrTb"/>
            <w:noWrap w:val="false"/>
          </w:tcPr>
          <w:p>
            <w:pPr>
              <w:rPr>
                <w:rFonts w:ascii="Calibri" w:hAnsi="Calibri" w:eastAsia="宋体" w:cs="Calibri"/>
                <w:sz w:val="20"/>
                <w:szCs w:val="20"/>
              </w:rPr>
            </w:pPr>
            <w:r>
              <w:rPr>
                <w:rFonts w:ascii="Calibri" w:hAnsi="Calibri" w:eastAsia="宋体" w:cs="Calibri"/>
                <w:sz w:val="20"/>
                <w:szCs w:val="20"/>
              </w:rPr>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数据溯源分析产品</w:t>
            </w:r>
            <w:r/>
          </w:p>
        </w:tc>
        <w:tc>
          <w:tcPr>
            <w:tcBorders>
              <w:top w:val="single" w:color="auto" w:sz="4" w:space="0"/>
              <w:left w:val="single" w:color="auto" w:sz="4" w:space="0"/>
              <w:bottom w:val="single" w:color="auto" w:sz="4" w:space="0"/>
              <w:right w:val="single" w:color="auto" w:sz="4" w:space="0"/>
            </w:tcBorders>
            <w:tcW w:w="6242" w:type="dxa"/>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功能要求：将数据安全设备产生的告警日志、操作审计日志、业务审计日志等数据采集到平台中，建立数据泄露事件行为模型，进行数据泄露安全场景的匹配分析，预测和警示有可能会出现的敏感数据泄露事件。同时，对于异常的数据访问、操作行为进行报警和管理。主要包括数据安全日志采集管理、敏感数据溯源分析、操作行为审计、场景建模分析。</w:t>
            </w:r>
            <w:r/>
          </w:p>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性能参数：</w:t>
            </w:r>
            <w:r/>
          </w:p>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支持采集日志类型≥3种；支持溯源分析事件≥100个/秒；支持审计管理的用户≥200个。</w:t>
            </w:r>
            <w:r/>
          </w:p>
        </w:tc>
      </w:tr>
      <w:tr>
        <w:trPr/>
        <w:tc>
          <w:tcPr>
            <w:tcBorders>
              <w:top w:val="single" w:color="auto" w:sz="4" w:space="0"/>
              <w:left w:val="single" w:color="auto" w:sz="4" w:space="0"/>
              <w:bottom w:val="single" w:color="auto" w:sz="4" w:space="0"/>
              <w:right w:val="single" w:color="auto" w:sz="4" w:space="0"/>
            </w:tcBorders>
            <w:tcW w:w="1473" w:type="dxa"/>
            <w:vMerge w:val="continue"/>
            <w:textDirection w:val="lrTb"/>
            <w:noWrap w:val="false"/>
          </w:tcPr>
          <w:p>
            <w:pPr>
              <w:rPr>
                <w:rFonts w:ascii="Calibri" w:hAnsi="Calibri" w:eastAsia="宋体" w:cs="Calibri"/>
                <w:sz w:val="20"/>
                <w:szCs w:val="20"/>
              </w:rPr>
            </w:pPr>
            <w:r>
              <w:rPr>
                <w:rFonts w:ascii="Calibri" w:hAnsi="Calibri" w:eastAsia="宋体" w:cs="Calibri"/>
                <w:sz w:val="20"/>
                <w:szCs w:val="20"/>
              </w:rPr>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终端数据防泄漏产品</w:t>
            </w:r>
            <w:r/>
          </w:p>
        </w:tc>
        <w:tc>
          <w:tcPr>
            <w:tcBorders>
              <w:top w:val="single" w:color="auto" w:sz="4" w:space="0"/>
              <w:left w:val="single" w:color="auto" w:sz="4" w:space="0"/>
              <w:bottom w:val="single" w:color="auto" w:sz="4" w:space="0"/>
              <w:right w:val="single" w:color="auto" w:sz="4" w:space="0"/>
            </w:tcBorders>
            <w:tcW w:w="6242" w:type="dxa"/>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功能要求：</w:t>
            </w:r>
            <w:r/>
          </w:p>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终端数据防泄漏系统，以数据识别为核心，结合全通道监控、</w:t>
            </w:r>
            <w:r>
              <w:rPr>
                <w:rFonts w:hint="eastAsia" w:ascii="宋体" w:hAnsi="宋体" w:eastAsia="宋体" w:cs="宋体"/>
                <w:color w:val="000000"/>
                <w:szCs w:val="21"/>
                <w:lang w:bidi="ar"/>
              </w:rPr>
              <w:t xml:space="preserve">柔性风险处置及全面审计管理，建立终端数据安全防护体系，解决数据落地、使用、传输、共享阶段的数据安全问题。通过对操作系统的驱动注入、数据捕获、行为监控等技术，对终端设备的泄漏风险及异常行为进行识别、防护和审计，防止终端用户通过应用、网络、外接设备等通道泄漏重要数据。同时，管理端对所有终端设备统一管理，终端日志集中审计分析，实现敏感数据流转监测，安全事件多维可视化呈现，数据泄漏可溯源追责。主要包括终端防护、敏感外发告警功能、数据外发管控、文件拷贝管控、剪贴板管控、打印数据监控、刻录数据监控、屏幕水印、打印水印。</w:t>
            </w:r>
            <w:r/>
          </w:p>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性能参数：</w:t>
            </w:r>
            <w:r/>
          </w:p>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终端防护数量≥30个；监控数据外发通道类型≥5种。</w:t>
            </w:r>
            <w:r/>
          </w:p>
        </w:tc>
      </w:tr>
      <w:tr>
        <w:trPr/>
        <w:tc>
          <w:tcPr>
            <w:tcBorders>
              <w:top w:val="single" w:color="auto" w:sz="4" w:space="0"/>
              <w:left w:val="single" w:color="auto" w:sz="4" w:space="0"/>
              <w:bottom w:val="single" w:color="auto" w:sz="4" w:space="0"/>
              <w:right w:val="single" w:color="auto" w:sz="4" w:space="0"/>
            </w:tcBorders>
            <w:tcW w:w="1473" w:type="dxa"/>
            <w:vMerge w:val="continue"/>
            <w:textDirection w:val="lrTb"/>
            <w:noWrap w:val="false"/>
          </w:tcPr>
          <w:p>
            <w:pPr>
              <w:rPr>
                <w:rFonts w:ascii="Calibri" w:hAnsi="Calibri" w:eastAsia="宋体" w:cs="Calibri"/>
                <w:sz w:val="20"/>
                <w:szCs w:val="20"/>
              </w:rPr>
            </w:pPr>
            <w:r>
              <w:rPr>
                <w:rFonts w:ascii="Calibri" w:hAnsi="Calibri" w:eastAsia="宋体" w:cs="Calibri"/>
                <w:sz w:val="20"/>
                <w:szCs w:val="20"/>
              </w:rPr>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数据水印</w:t>
            </w:r>
            <w:r/>
          </w:p>
        </w:tc>
        <w:tc>
          <w:tcPr>
            <w:tcBorders>
              <w:top w:val="single" w:color="auto" w:sz="4" w:space="0"/>
              <w:left w:val="single" w:color="auto" w:sz="4" w:space="0"/>
              <w:bottom w:val="single" w:color="auto" w:sz="4" w:space="0"/>
              <w:right w:val="single" w:color="auto" w:sz="4" w:space="0"/>
            </w:tcBorders>
            <w:tcW w:w="6242" w:type="dxa"/>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功能要求：</w:t>
            </w:r>
            <w:r/>
          </w:p>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数字水印：通过对水印信息进行加注和溯源，为数据文件建立可鉴别的唯一标识。通过识别数据的提供方、使用方等信息，结合数据水印技术，实现数据权属的确认，以及数据泄露者的溯源鉴定。使用户在进行共享外发文件操作时，通过数据水印溯源系统在数据流的流转过程中，对数据进行水印处理、水印信息存储、水印完整性记录、水印记录追踪等系列操作，完成水印信息综合分析统计，为数据文件建立完整的可鉴别、可追踪、可溯源处理机制。</w:t>
            </w:r>
            <w:r/>
          </w:p>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水印溯源：支持数据溯源和文件溯源两种方式，一旦发生数据泄露，可手动导入文件形式溯源精准溯源到操作数据用户身份、作业及泄露范围和渠道，也可在线解析数据库中的数据进行水印校验确认；需支持具备独立的水印生成列表记录，包括源资产、源模式、源表、目标资产、目标文件、使用单位、使用人、用途、时间等，支持多维度检索，方便查询溯源结果，提高数据共享使用中的安全性和可追溯能力。支持在线查看水印任务报告。</w:t>
            </w:r>
            <w:r/>
          </w:p>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3.水印记录：具备独立的水印生成列表记录，包括源资产、源模式、源表、目标资产、目标文件、使用单位、使用人、用途、时间等，支持多维度检索，方便查询溯源结果，提高数据共享使用中的安全性和可追溯能力。</w:t>
            </w:r>
            <w:r/>
          </w:p>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性能参数：</w:t>
            </w:r>
            <w:r/>
          </w:p>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支持水印类型≥3种；单文件水印嵌入/提取时间≤3秒；支持溯源的数据源类型≥5种；支持溯源的数据源数量≥200个。</w:t>
            </w:r>
            <w:r/>
          </w:p>
        </w:tc>
      </w:tr>
      <w:tr>
        <w:trPr>
          <w:trHeight w:val="2825"/>
        </w:trPr>
        <w:tc>
          <w:tcPr>
            <w:tcBorders>
              <w:top w:val="single" w:color="auto" w:sz="4" w:space="0"/>
              <w:left w:val="single" w:color="auto" w:sz="4" w:space="0"/>
              <w:bottom w:val="single" w:color="auto" w:sz="4" w:space="0"/>
              <w:right w:val="single" w:color="auto" w:sz="4" w:space="0"/>
            </w:tcBorders>
            <w:tcW w:w="1473" w:type="dxa"/>
            <w:vMerge w:val="continue"/>
            <w:textDirection w:val="lrTb"/>
            <w:noWrap w:val="false"/>
          </w:tcPr>
          <w:p>
            <w:pPr>
              <w:rPr>
                <w:rFonts w:ascii="Calibri" w:hAnsi="Calibri" w:eastAsia="宋体" w:cs="Calibri"/>
                <w:sz w:val="20"/>
                <w:szCs w:val="20"/>
              </w:rPr>
            </w:pPr>
            <w:r>
              <w:rPr>
                <w:rFonts w:ascii="Calibri" w:hAnsi="Calibri" w:eastAsia="宋体" w:cs="Calibri"/>
                <w:sz w:val="20"/>
                <w:szCs w:val="20"/>
              </w:rPr>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API接口审计产品</w:t>
            </w:r>
            <w:r/>
          </w:p>
        </w:tc>
        <w:tc>
          <w:tcPr>
            <w:tcBorders>
              <w:top w:val="single" w:color="auto" w:sz="4" w:space="0"/>
              <w:left w:val="single" w:color="auto" w:sz="4" w:space="0"/>
              <w:bottom w:val="single" w:color="auto" w:sz="4" w:space="0"/>
              <w:right w:val="single" w:color="auto" w:sz="4" w:space="0"/>
            </w:tcBorders>
            <w:tcW w:w="6242" w:type="dxa"/>
            <w:textDirection w:val="lrTb"/>
            <w:noWrap w:val="false"/>
          </w:tcPr>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功能要求：</w:t>
            </w:r>
            <w:r/>
          </w:p>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面向应用API接口，针对HTTP流量，通过旁路捕获网络数据进行协议还原、过滤，驱动数据安全风险引擎，对接口数据流转环节进行关联分析，实现数据敏感信息传输、数据过度暴露或违规风险、异常行为进行监测，以确保日常数据处理活动的安全、合规。主要包括关键业务梳理、行为异常监测、数据合规监测、追溯取证分析。</w:t>
            </w:r>
            <w:r/>
          </w:p>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性能参数：</w:t>
            </w:r>
            <w:r/>
          </w:p>
          <w:p>
            <w:pPr>
              <w:spacing w:line="400" w:lineRule="exac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支持监测的API协议类型≥3种；支持流量≥1Gbps；支持监测的API接口≥2000个。</w:t>
            </w:r>
            <w:r/>
          </w:p>
        </w:tc>
      </w:tr>
    </w:tbl>
    <w:p>
      <w:pPr>
        <w:ind w:firstLine="482"/>
        <w:spacing w:line="400" w:lineRule="exact"/>
        <w:widowControl/>
        <w:rPr>
          <w:rFonts w:ascii="Times New Roman" w:hAnsi="Times New Roman" w:eastAsia="宋体"/>
          <w:b/>
          <w:bCs/>
          <w:sz w:val="24"/>
          <w:szCs w:val="20"/>
        </w:rPr>
        <w:outlineLvl w:val="4"/>
      </w:pPr>
      <w:r>
        <w:rPr>
          <w:rFonts w:ascii="Times New Roman" w:hAnsi="Times New Roman" w:eastAsia="宋体"/>
          <w:b/>
          <w:bCs/>
          <w:sz w:val="24"/>
          <w:szCs w:val="20"/>
          <w:lang w:bidi="ar"/>
        </w:rPr>
        <w:t xml:space="preserve">2</w:t>
      </w:r>
      <w:r>
        <w:rPr>
          <w:rFonts w:hint="eastAsia" w:ascii="Times New Roman" w:hAnsi="Times New Roman" w:eastAsia="宋体"/>
          <w:b/>
          <w:bCs/>
          <w:sz w:val="24"/>
          <w:szCs w:val="20"/>
          <w:lang w:bidi="ar"/>
        </w:rPr>
        <w:t xml:space="preserve">．数据安全运营服务</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投标人负责提供公共数据平台安全运营服务，实现数据安全事件的监测，安全的处置和加固，以及安全事件的通知和预警。进行持续的常态化的数据安全运营服务，包括但不限于制度体系设计服务、敏感数据梳理服务、数据安全监测服务、数据安全分析服务、数据安全风险评估服务、安全处置加固服务、数据安全培训服务、重保服务、检测评估服务</w:t>
      </w:r>
      <w:r>
        <w:rPr>
          <w:rFonts w:hint="eastAsia" w:ascii="宋体" w:hAnsi="宋体" w:eastAsia="宋体" w:cs="宋体"/>
          <w:sz w:val="24"/>
          <w:szCs w:val="20"/>
          <w:lang w:eastAsia="zh-CN" w:bidi="ar"/>
        </w:rPr>
        <w:t xml:space="preserve">、</w:t>
      </w:r>
      <w:r>
        <w:rPr>
          <w:rFonts w:hint="eastAsia" w:ascii="宋体" w:hAnsi="宋体" w:eastAsia="宋体" w:cs="宋体"/>
          <w:sz w:val="24"/>
          <w:szCs w:val="20"/>
          <w:lang w:bidi="ar"/>
        </w:rPr>
        <w:t xml:space="preserve">个人信息保护审计服务等。</w:t>
      </w:r>
      <w:r/>
    </w:p>
    <w:p>
      <w:pPr>
        <w:ind w:firstLine="482"/>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lang w:bidi="ar"/>
        </w:rPr>
        <w:t xml:space="preserve">（1）制度体系设计服务</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投标人须提供公共数据平台的数据安全管理制度与规范设计服务，从源头上确保制度覆盖数据全生命周期各环节。制度体系应从组织层面统筹设计，构建层次清晰、逻辑严密的框架，确保各层级之间以及同层级各模块之间衔接有序、内容不重复、不冲突。制度体系分为以下四级：</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1）一级文件：包括数据安全管理的顶层方针、策略、基本原则及总体管理要求，如《盐城市公共数据平台数据安全总纲》《公共数据分类分级指南》等。</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2）二级文件：涵盖数据安全通用规范及各生命周期的管理规章，包括但不限于《数据运维安全管理办法》《运维人员安全管理办法》等。</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3）三级文件：包括数据各生命周期管理及具体安全域的操作流程、规范、作业指导书及相关模板，例如《数据安全培训管理规范》等。</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4）四级文件：为执行数据安全管理制度所形成的计划、表格、报告、运行记录、检查记录及日志文件等。</w:t>
      </w:r>
      <w:r/>
    </w:p>
    <w:p>
      <w:pPr>
        <w:ind w:firstLine="482"/>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lang w:bidi="ar"/>
        </w:rPr>
        <w:t xml:space="preserve">（2）敏感数据梳理服务</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eastAsia="zh-CN" w:bidi="ar"/>
        </w:rPr>
        <w:t xml:space="preserve">投标人</w:t>
      </w:r>
      <w:r>
        <w:rPr>
          <w:rFonts w:hint="eastAsia" w:ascii="宋体" w:hAnsi="宋体" w:eastAsia="宋体" w:cs="宋体"/>
          <w:sz w:val="24"/>
          <w:szCs w:val="20"/>
          <w:lang w:bidi="ar"/>
        </w:rPr>
        <w:t xml:space="preserve">应对公共数据平台中的系统、业务资产及数据等关键资产，依据其对业务系统的影响程度、数据丢失对组织的影响程度，以及数据的业务属性、敏感级别、类型、使用权限等维度，开展常态化梳理与敏感数据识别，形成数据资产清单与敏感数据资产清单。根据数据敏感程度制定相应安全保护策略，规划数据安全措施，并依据业务权限明确数据使用范围。同时，按照省、市相关标准规范实施公共数据分类分级。</w:t>
      </w:r>
      <w:r/>
    </w:p>
    <w:p>
      <w:pPr>
        <w:ind w:firstLine="482"/>
        <w:rPr>
          <w:rFonts w:hint="eastAsia" w:ascii="宋体" w:hAnsi="宋体" w:eastAsia="宋体" w:cs="宋体"/>
          <w:b/>
          <w:bCs/>
          <w:sz w:val="24"/>
          <w:szCs w:val="20"/>
        </w:rPr>
        <w:outlineLvl w:val="5"/>
      </w:pPr>
      <w:r>
        <w:rPr>
          <w:rFonts w:hint="eastAsia" w:ascii="宋体" w:hAnsi="宋体" w:eastAsia="宋体" w:cs="宋体"/>
          <w:b/>
          <w:bCs/>
          <w:sz w:val="24"/>
          <w:szCs w:val="20"/>
          <w:lang w:bidi="ar"/>
        </w:rPr>
        <w:t xml:space="preserve">（3）数据安全监测服务</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eastAsia="zh-CN" w:bidi="ar"/>
        </w:rPr>
        <w:t xml:space="preserve">投标人</w:t>
      </w:r>
      <w:r>
        <w:rPr>
          <w:rFonts w:hint="eastAsia" w:ascii="宋体" w:hAnsi="宋体" w:eastAsia="宋体" w:cs="宋体"/>
          <w:sz w:val="24"/>
          <w:szCs w:val="20"/>
          <w:lang w:bidi="ar"/>
        </w:rPr>
        <w:t xml:space="preserve">负责数据安全日志的接入、统计与分析等日常运维工作，对服务范围内产生的审计日志、操作日志及告警日志进行监控，及时发现并处理异常访问行为、未授权敏感数据访问行为及异常攻击行为，并按要求上报。定期编写数据安全监控报告，对市公共数据开放平台实施持续监测，按月提供网站安全监测报告，及时发现并报告安全隐患与问题。</w:t>
      </w:r>
      <w:r/>
    </w:p>
    <w:p>
      <w:pPr>
        <w:ind w:firstLine="482"/>
        <w:rPr>
          <w:rFonts w:hint="eastAsia" w:ascii="宋体" w:hAnsi="宋体" w:eastAsia="宋体" w:cs="宋体"/>
          <w:b/>
          <w:bCs/>
          <w:sz w:val="24"/>
          <w:szCs w:val="20"/>
        </w:rPr>
        <w:outlineLvl w:val="5"/>
      </w:pPr>
      <w:r>
        <w:rPr>
          <w:rFonts w:hint="eastAsia" w:ascii="宋体" w:hAnsi="宋体" w:eastAsia="宋体" w:cs="宋体"/>
          <w:b/>
          <w:bCs/>
          <w:sz w:val="24"/>
          <w:szCs w:val="20"/>
          <w:lang w:bidi="ar"/>
        </w:rPr>
        <w:t xml:space="preserve">（4）数据安全分析服务</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eastAsia="zh-CN" w:bidi="ar"/>
        </w:rPr>
        <w:t xml:space="preserve">投标人</w:t>
      </w:r>
      <w:r>
        <w:rPr>
          <w:rFonts w:hint="eastAsia" w:ascii="宋体" w:hAnsi="宋体" w:eastAsia="宋体" w:cs="宋体"/>
          <w:sz w:val="24"/>
          <w:szCs w:val="20"/>
          <w:lang w:bidi="ar"/>
        </w:rPr>
        <w:t xml:space="preserve">应基于所收集的数据安全信息进行整理分析，通过规则项识别各监控对象所探测到的数据安全事件，明确威胁来源、影响及重要性。综合研判各类告警日志与安全事件，形成数据安全分析报告并定期向</w:t>
      </w:r>
      <w:r>
        <w:rPr>
          <w:rFonts w:hint="eastAsia" w:ascii="宋体" w:hAnsi="宋体" w:eastAsia="宋体" w:cs="宋体"/>
          <w:sz w:val="24"/>
          <w:szCs w:val="20"/>
          <w:lang w:eastAsia="zh-CN" w:bidi="ar"/>
        </w:rPr>
        <w:t xml:space="preserve">采购人</w:t>
      </w:r>
      <w:r>
        <w:rPr>
          <w:rFonts w:hint="eastAsia" w:ascii="宋体" w:hAnsi="宋体" w:eastAsia="宋体" w:cs="宋体"/>
          <w:sz w:val="24"/>
          <w:szCs w:val="20"/>
          <w:lang w:bidi="ar"/>
        </w:rPr>
        <w:t xml:space="preserve">报送。同时，将分析经验转化为自动化安全分析能力与定制化安全模型，持续扩充情报信息模块中的安全模型库。</w:t>
      </w:r>
      <w:r/>
    </w:p>
    <w:p>
      <w:pPr>
        <w:ind w:firstLine="482"/>
        <w:rPr>
          <w:rFonts w:hint="eastAsia" w:ascii="宋体" w:hAnsi="宋体" w:eastAsia="宋体" w:cs="宋体"/>
          <w:b/>
          <w:bCs/>
          <w:sz w:val="24"/>
          <w:szCs w:val="20"/>
        </w:rPr>
        <w:outlineLvl w:val="5"/>
      </w:pPr>
      <w:r>
        <w:rPr>
          <w:rFonts w:hint="eastAsia" w:ascii="宋体" w:hAnsi="宋体" w:eastAsia="宋体" w:cs="宋体"/>
          <w:b/>
          <w:bCs/>
          <w:sz w:val="24"/>
          <w:szCs w:val="20"/>
          <w:lang w:bidi="ar"/>
        </w:rPr>
        <w:t xml:space="preserve">（5）安全处置加固服务</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eastAsia="zh-CN" w:bidi="ar"/>
        </w:rPr>
        <w:t xml:space="preserve">投标人</w:t>
      </w:r>
      <w:r>
        <w:rPr>
          <w:rFonts w:hint="eastAsia" w:ascii="宋体" w:hAnsi="宋体" w:eastAsia="宋体" w:cs="宋体"/>
          <w:sz w:val="24"/>
          <w:szCs w:val="20"/>
          <w:lang w:bidi="ar"/>
        </w:rPr>
        <w:t xml:space="preserve">须针对敏感数据泄露、关键数据被恶意加密、数据丢失等场景，提供解决方案与加固措施，协助公共数据平台运维人员修复业务数据泄露漏洞。加固内容包括安全漏洞修复与安全配置优化。</w:t>
      </w:r>
      <w:r/>
    </w:p>
    <w:p>
      <w:pPr>
        <w:ind w:firstLine="482"/>
        <w:rPr>
          <w:rFonts w:hint="eastAsia" w:ascii="宋体" w:hAnsi="宋体" w:eastAsia="宋体" w:cs="宋体"/>
          <w:b/>
          <w:bCs/>
          <w:sz w:val="24"/>
          <w:szCs w:val="20"/>
        </w:rPr>
        <w:outlineLvl w:val="5"/>
      </w:pPr>
      <w:r>
        <w:rPr>
          <w:rFonts w:hint="eastAsia" w:ascii="宋体" w:hAnsi="宋体" w:eastAsia="宋体" w:cs="宋体"/>
          <w:b/>
          <w:bCs/>
          <w:sz w:val="24"/>
          <w:szCs w:val="20"/>
          <w:lang w:bidi="ar"/>
        </w:rPr>
        <w:t xml:space="preserve">（6）数据安全培训服务</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eastAsia="zh-CN" w:bidi="ar"/>
        </w:rPr>
        <w:t xml:space="preserve">投标人</w:t>
      </w:r>
      <w:r>
        <w:rPr>
          <w:rFonts w:hint="eastAsia" w:ascii="宋体" w:hAnsi="宋体" w:eastAsia="宋体" w:cs="宋体"/>
          <w:sz w:val="24"/>
          <w:szCs w:val="20"/>
          <w:lang w:bidi="ar"/>
        </w:rPr>
        <w:t xml:space="preserve">每年应组织至少一次市公共数据平台的数据安全与网络安全演练，提升相关运维人员在实战中的应急处置能力。结合演练中发现的突出问题和深层次隐患，每年组织不少于两次的数据安全与网络安全培训，普及相关知识与技能。</w:t>
      </w:r>
      <w:r/>
    </w:p>
    <w:p>
      <w:pPr>
        <w:ind w:firstLine="482"/>
        <w:rPr>
          <w:rFonts w:hint="eastAsia" w:ascii="宋体" w:hAnsi="宋体" w:eastAsia="宋体" w:cs="宋体"/>
          <w:b/>
          <w:bCs/>
          <w:sz w:val="24"/>
          <w:szCs w:val="20"/>
        </w:rPr>
        <w:outlineLvl w:val="5"/>
      </w:pPr>
      <w:r>
        <w:rPr>
          <w:rFonts w:hint="eastAsia" w:ascii="宋体" w:hAnsi="宋体" w:eastAsia="宋体" w:cs="宋体"/>
          <w:b/>
          <w:bCs/>
          <w:sz w:val="24"/>
          <w:szCs w:val="20"/>
          <w:lang w:bidi="ar"/>
        </w:rPr>
        <w:t xml:space="preserve">（7）安全重保服务</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eastAsia="zh-CN" w:bidi="ar"/>
        </w:rPr>
        <w:t xml:space="preserve">投标人</w:t>
      </w:r>
      <w:r>
        <w:rPr>
          <w:rFonts w:hint="eastAsia" w:ascii="宋体" w:hAnsi="宋体" w:eastAsia="宋体" w:cs="宋体"/>
          <w:sz w:val="24"/>
          <w:szCs w:val="20"/>
          <w:lang w:bidi="ar"/>
        </w:rPr>
        <w:t xml:space="preserve">应依据安全重保应急管理要求，在节假日、重大活动等重点保障期间，提供应用安全应急保障服务。服务覆盖备战、临战、实战、战后复盘等全周期，包括驻场值守、系统运行状态实时监控、安全事件第一时间响应、漏洞修复、攻击溯源、应急处置等实战支持，并在保障结束后协助开展复盘总结，提交事件分析报告与改进建议。</w:t>
      </w:r>
      <w:r/>
    </w:p>
    <w:p>
      <w:pPr>
        <w:ind w:firstLine="482"/>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lang w:bidi="ar"/>
        </w:rPr>
        <w:t xml:space="preserve">（8）检测评估服务</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eastAsia="zh-CN" w:bidi="ar"/>
        </w:rPr>
        <w:t xml:space="preserve">投标人</w:t>
      </w:r>
      <w:r>
        <w:rPr>
          <w:rFonts w:hint="eastAsia" w:ascii="宋体" w:hAnsi="宋体" w:eastAsia="宋体" w:cs="宋体"/>
          <w:sz w:val="24"/>
          <w:szCs w:val="20"/>
          <w:lang w:bidi="ar"/>
        </w:rPr>
        <w:t xml:space="preserve">每年须提供不少于四次的数据安全综合检测评估。检测前应制定合理可行的评估方案，全面评估公共数据平台在用户认证、接口调用、平台运行、数据防护等方面的风险隐患</w:t>
      </w:r>
      <w:r>
        <w:rPr>
          <w:rFonts w:hint="eastAsia" w:ascii="宋体" w:hAnsi="宋体" w:eastAsia="宋体" w:cs="宋体"/>
          <w:sz w:val="24"/>
          <w:szCs w:val="20"/>
          <w:lang w:eastAsia="zh-CN" w:bidi="ar"/>
        </w:rPr>
        <w:t xml:space="preserve">，并</w:t>
      </w:r>
      <w:r>
        <w:rPr>
          <w:rFonts w:hint="eastAsia" w:ascii="宋体" w:hAnsi="宋体" w:eastAsia="宋体" w:cs="宋体"/>
          <w:sz w:val="24"/>
          <w:szCs w:val="20"/>
          <w:lang w:bidi="ar"/>
        </w:rPr>
        <w:t xml:space="preserve">出具检测报告，针对发现的风险或安全漏洞提出整改建议，并协同各业务运营运维团队落实整改措施。</w:t>
      </w:r>
      <w:r/>
    </w:p>
    <w:p>
      <w:pPr>
        <w:ind w:firstLine="482"/>
        <w:rPr>
          <w:rFonts w:hint="eastAsia" w:ascii="宋体" w:hAnsi="宋体" w:eastAsia="宋体" w:cs="宋体"/>
          <w:b/>
          <w:bCs/>
          <w:sz w:val="24"/>
          <w:szCs w:val="20"/>
        </w:rPr>
        <w:outlineLvl w:val="5"/>
      </w:pPr>
      <w:r>
        <w:rPr>
          <w:rFonts w:hint="eastAsia" w:ascii="宋体" w:hAnsi="宋体" w:eastAsia="宋体" w:cs="宋体"/>
          <w:b/>
          <w:bCs/>
          <w:sz w:val="24"/>
          <w:szCs w:val="20"/>
          <w:lang w:bidi="ar"/>
        </w:rPr>
        <w:t xml:space="preserve">（9）个人信息保护审计服务</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eastAsia="zh-CN" w:bidi="ar"/>
        </w:rPr>
        <w:t xml:space="preserve">投标人</w:t>
      </w:r>
      <w:r>
        <w:rPr>
          <w:rFonts w:hint="eastAsia" w:ascii="宋体" w:hAnsi="宋体" w:eastAsia="宋体" w:cs="宋体"/>
          <w:sz w:val="24"/>
          <w:szCs w:val="20"/>
          <w:lang w:bidi="ar"/>
        </w:rPr>
        <w:t xml:space="preserve">应依据《</w:t>
      </w:r>
      <w:r>
        <w:rPr>
          <w:rFonts w:hint="eastAsia" w:ascii="宋体" w:hAnsi="宋体" w:eastAsia="宋体" w:cs="宋体"/>
          <w:sz w:val="24"/>
          <w:szCs w:val="20"/>
          <w:lang w:eastAsia="zh-CN" w:bidi="ar"/>
        </w:rPr>
        <w:t xml:space="preserve">中华人民共和国个人信息保护法</w:t>
      </w:r>
      <w:r>
        <w:rPr>
          <w:rFonts w:hint="eastAsia" w:ascii="宋体" w:hAnsi="宋体" w:eastAsia="宋体" w:cs="宋体"/>
          <w:sz w:val="24"/>
          <w:szCs w:val="20"/>
          <w:lang w:bidi="ar"/>
        </w:rPr>
        <w:t xml:space="preserve">》及相关法律法规要求，建立常态化的个人信息保护审计机制。每年开展不少于一次专项审计，全面评估公共数据平台在个人信息收集、存储、使用、加工、传输、提供、公开等处理活动中的合规性。审计结束后应出具详细审计建议报告，对发现的问题提供针对性整改建议，并协助</w:t>
      </w:r>
      <w:r>
        <w:rPr>
          <w:rFonts w:hint="eastAsia" w:ascii="宋体" w:hAnsi="宋体" w:eastAsia="宋体" w:cs="宋体"/>
          <w:sz w:val="24"/>
          <w:szCs w:val="20"/>
          <w:lang w:eastAsia="zh-CN" w:bidi="ar"/>
        </w:rPr>
        <w:t xml:space="preserve">采购人</w:t>
      </w:r>
      <w:r>
        <w:rPr>
          <w:rFonts w:hint="eastAsia" w:ascii="宋体" w:hAnsi="宋体" w:eastAsia="宋体" w:cs="宋体"/>
          <w:sz w:val="24"/>
          <w:szCs w:val="20"/>
          <w:lang w:bidi="ar"/>
        </w:rPr>
        <w:t xml:space="preserve">完善个人信息保护管理体系。</w:t>
      </w:r>
      <w:r/>
    </w:p>
    <w:p>
      <w:pPr>
        <w:ind w:firstLine="482"/>
        <w:spacing w:line="560" w:lineRule="exact"/>
        <w:widowControl/>
        <w:rPr>
          <w:rFonts w:hint="eastAsia" w:ascii="宋体" w:hAnsi="宋体" w:eastAsia="宋体" w:cs="宋体"/>
          <w:b/>
          <w:bCs/>
          <w:sz w:val="24"/>
          <w:szCs w:val="20"/>
          <w:lang w:bidi="ar"/>
        </w:rPr>
        <w:outlineLvl w:val="4"/>
      </w:pPr>
      <w:r>
        <w:rPr>
          <w:rFonts w:hint="eastAsia" w:ascii="宋体" w:hAnsi="宋体" w:eastAsia="宋体" w:cs="宋体"/>
          <w:b/>
          <w:bCs/>
          <w:sz w:val="24"/>
          <w:szCs w:val="20"/>
          <w:lang w:bidi="ar"/>
        </w:rPr>
        <w:t xml:space="preserve">3．数据安全工作区设备采购</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完成数据安全工作区设备采购与安装，包括但不限于：</w:t>
      </w:r>
      <w:r/>
    </w:p>
    <w:tbl>
      <w:tblPr>
        <w:tblStyle w:val="741"/>
        <w:tblW w:w="4965" w:type="pct"/>
        <w:jc w:val="center"/>
        <w:tblLayout w:type="autofit"/>
        <w:tblCellMar>
          <w:left w:w="108" w:type="dxa"/>
          <w:top w:w="57" w:type="dxa"/>
          <w:right w:w="108" w:type="dxa"/>
          <w:bottom w:w="57" w:type="dxa"/>
        </w:tblCellMar>
        <w:tblLook w:val="04A0" w:firstRow="1" w:lastRow="0" w:firstColumn="1" w:lastColumn="0" w:noHBand="0" w:noVBand="1"/>
      </w:tblPr>
      <w:tblGrid>
        <w:gridCol w:w="920"/>
        <w:gridCol w:w="3408"/>
        <w:gridCol w:w="2239"/>
        <w:gridCol w:w="1182"/>
        <w:gridCol w:w="1045"/>
      </w:tblGrid>
      <w:tr>
        <w:trPr>
          <w:jc w:val="center"/>
          <w:trHeight w:val="397"/>
        </w:trPr>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00" w:lineRule="exact"/>
              <w:rPr>
                <w:rFonts w:hint="eastAsia" w:ascii="方正仿宋_GBK" w:hAnsi="方正仿宋_GBK" w:eastAsia="宋体" w:cs="方正仿宋_GBK"/>
                <w:bCs/>
                <w:szCs w:val="21"/>
              </w:rPr>
            </w:pPr>
            <w:r>
              <w:rPr>
                <w:rFonts w:hint="eastAsia" w:ascii="方正仿宋_GBK" w:hAnsi="Calibri" w:eastAsia="宋体" w:cs="宋体"/>
                <w:bCs/>
                <w:szCs w:val="21"/>
                <w:lang w:bidi="ar"/>
              </w:rPr>
              <w:t xml:space="preserve">序号</w:t>
            </w:r>
            <w:r/>
          </w:p>
        </w:tc>
        <w:tc>
          <w:tcPr>
            <w:tcBorders>
              <w:top w:val="single" w:color="auto" w:sz="4" w:space="0"/>
              <w:left w:val="none" w:color="000000" w:sz="4" w:space="0"/>
              <w:bottom w:val="single" w:color="auto" w:sz="4" w:space="0"/>
              <w:right w:val="single" w:color="auto" w:sz="4" w:space="0"/>
            </w:tcBorders>
            <w:tcW w:w="1937" w:type="pct"/>
            <w:vAlign w:val="center"/>
            <w:textDirection w:val="lrTb"/>
            <w:noWrap w:val="false"/>
          </w:tcPr>
          <w:p>
            <w:pPr>
              <w:jc w:val="center"/>
              <w:spacing w:line="300" w:lineRule="exact"/>
              <w:rPr>
                <w:rFonts w:hint="eastAsia" w:ascii="方正仿宋_GBK" w:hAnsi="方正仿宋_GBK" w:eastAsia="宋体" w:cs="方正仿宋_GBK"/>
                <w:bCs/>
                <w:szCs w:val="21"/>
              </w:rPr>
            </w:pPr>
            <w:r>
              <w:rPr>
                <w:rFonts w:hint="eastAsia" w:ascii="方正仿宋_GBK" w:hAnsi="Calibri" w:eastAsia="宋体" w:cs="宋体"/>
                <w:bCs/>
                <w:szCs w:val="21"/>
                <w:lang w:bidi="ar"/>
              </w:rPr>
              <w:t xml:space="preserve">设备名称</w:t>
            </w:r>
            <w:r/>
          </w:p>
        </w:tc>
        <w:tc>
          <w:tcPr>
            <w:tcBorders>
              <w:top w:val="single" w:color="auto" w:sz="4" w:space="0"/>
              <w:left w:val="none" w:color="000000" w:sz="4" w:space="0"/>
              <w:bottom w:val="single" w:color="auto" w:sz="4" w:space="0"/>
              <w:right w:val="single" w:color="auto" w:sz="4" w:space="0"/>
            </w:tcBorders>
            <w:tcW w:w="1273" w:type="pct"/>
            <w:vAlign w:val="center"/>
            <w:textDirection w:val="lrTb"/>
            <w:noWrap w:val="false"/>
          </w:tcPr>
          <w:p>
            <w:pPr>
              <w:jc w:val="center"/>
              <w:spacing w:line="300" w:lineRule="exact"/>
              <w:rPr>
                <w:rFonts w:hint="eastAsia" w:ascii="方正仿宋_GBK" w:hAnsi="方正仿宋_GBK" w:eastAsia="宋体" w:cs="方正仿宋_GBK"/>
                <w:bCs/>
                <w:szCs w:val="21"/>
              </w:rPr>
            </w:pPr>
            <w:r>
              <w:rPr>
                <w:rFonts w:hint="eastAsia" w:ascii="方正仿宋_GBK" w:hAnsi="Calibri" w:eastAsia="宋体" w:cs="宋体"/>
                <w:bCs/>
                <w:szCs w:val="21"/>
                <w:lang w:bidi="ar"/>
              </w:rPr>
              <w:t xml:space="preserve">型号参数</w:t>
            </w:r>
            <w:r/>
          </w:p>
        </w:tc>
        <w:tc>
          <w:tcPr>
            <w:tcBorders>
              <w:top w:val="single" w:color="auto" w:sz="4" w:space="0"/>
              <w:left w:val="none" w:color="000000" w:sz="4" w:space="0"/>
              <w:bottom w:val="single" w:color="auto" w:sz="4" w:space="0"/>
              <w:right w:val="single" w:color="auto" w:sz="4" w:space="0"/>
            </w:tcBorders>
            <w:tcW w:w="672" w:type="pct"/>
            <w:vAlign w:val="center"/>
            <w:textDirection w:val="lrTb"/>
            <w:noWrap w:val="false"/>
          </w:tcPr>
          <w:p>
            <w:pPr>
              <w:jc w:val="center"/>
              <w:spacing w:line="300" w:lineRule="exact"/>
              <w:rPr>
                <w:rFonts w:hint="eastAsia" w:ascii="方正仿宋_GBK" w:hAnsi="方正仿宋_GBK" w:eastAsia="宋体" w:cs="方正仿宋_GBK"/>
                <w:bCs/>
                <w:szCs w:val="21"/>
              </w:rPr>
            </w:pPr>
            <w:r>
              <w:rPr>
                <w:rFonts w:hint="eastAsia" w:ascii="方正仿宋_GBK" w:hAnsi="Calibri" w:eastAsia="宋体" w:cs="宋体"/>
                <w:bCs/>
                <w:szCs w:val="21"/>
                <w:lang w:bidi="ar"/>
              </w:rPr>
              <w:t xml:space="preserve">数量</w:t>
            </w:r>
            <w:r/>
          </w:p>
        </w:tc>
        <w:tc>
          <w:tcPr>
            <w:tcBorders>
              <w:top w:val="single" w:color="auto" w:sz="4" w:space="0"/>
              <w:left w:val="none" w:color="000000" w:sz="4" w:space="0"/>
              <w:bottom w:val="single" w:color="auto" w:sz="4" w:space="0"/>
              <w:right w:val="single" w:color="auto" w:sz="4" w:space="0"/>
            </w:tcBorders>
            <w:tcW w:w="593" w:type="pct"/>
            <w:vAlign w:val="center"/>
            <w:textDirection w:val="lrTb"/>
            <w:noWrap w:val="false"/>
          </w:tcPr>
          <w:p>
            <w:pPr>
              <w:jc w:val="center"/>
              <w:spacing w:line="300" w:lineRule="exact"/>
              <w:rPr>
                <w:rFonts w:hint="eastAsia" w:ascii="方正仿宋_GBK" w:hAnsi="方正仿宋_GBK" w:eastAsia="宋体" w:cs="方正仿宋_GBK"/>
                <w:bCs/>
                <w:szCs w:val="21"/>
              </w:rPr>
            </w:pPr>
            <w:r>
              <w:rPr>
                <w:rFonts w:hint="eastAsia" w:ascii="方正仿宋_GBK" w:hAnsi="Calibri" w:eastAsia="宋体" w:cs="宋体"/>
                <w:bCs/>
                <w:szCs w:val="21"/>
                <w:lang w:bidi="ar"/>
              </w:rPr>
              <w:t xml:space="preserve">单位</w:t>
            </w:r>
            <w:r/>
          </w:p>
        </w:tc>
      </w:tr>
      <w:tr>
        <w:trPr>
          <w:jc w:val="center"/>
          <w:trHeight w:val="397"/>
        </w:trPr>
        <w:tc>
          <w:tcPr>
            <w:tcBorders>
              <w:top w:val="none" w:color="000000" w:sz="4" w:space="0"/>
              <w:left w:val="single" w:color="auto" w:sz="4" w:space="0"/>
              <w:bottom w:val="single" w:color="auto" w:sz="4" w:space="0"/>
              <w:right w:val="single" w:color="auto" w:sz="4" w:space="0"/>
            </w:tcBorders>
            <w:tcW w:w="523" w:type="pct"/>
            <w:vAlign w:val="center"/>
            <w:textDirection w:val="lrTb"/>
            <w:noWrap w:val="false"/>
          </w:tcPr>
          <w:p>
            <w:pPr>
              <w:jc w:val="center"/>
              <w:spacing w:line="300" w:lineRule="exact"/>
              <w:rPr>
                <w:rFonts w:hint="eastAsia" w:ascii="方正仿宋_GBK" w:hAnsi="方正仿宋_GBK" w:eastAsia="宋体" w:cs="方正仿宋_GBK"/>
                <w:b/>
                <w:bCs/>
                <w:szCs w:val="21"/>
              </w:rPr>
            </w:pPr>
            <w:r>
              <w:rPr>
                <w:rFonts w:hint="eastAsia" w:ascii="方正仿宋_GBK" w:hAnsi="Calibri" w:eastAsia="宋体" w:cs="宋体"/>
                <w:b/>
                <w:bCs/>
                <w:szCs w:val="21"/>
                <w:lang w:bidi="ar"/>
              </w:rPr>
              <w:t xml:space="preserve">一</w:t>
            </w:r>
            <w:r/>
          </w:p>
        </w:tc>
        <w:tc>
          <w:tcPr>
            <w:gridSpan w:val="4"/>
            <w:tcBorders>
              <w:top w:val="none" w:color="000000" w:sz="4" w:space="0"/>
              <w:left w:val="single" w:color="auto" w:sz="4" w:space="0"/>
              <w:bottom w:val="single" w:color="auto" w:sz="4" w:space="0"/>
              <w:right w:val="single" w:color="auto" w:sz="4" w:space="0"/>
            </w:tcBorders>
            <w:tcW w:w="4476" w:type="pct"/>
            <w:vAlign w:val="center"/>
            <w:textDirection w:val="lrTb"/>
            <w:noWrap w:val="false"/>
          </w:tcPr>
          <w:p>
            <w:pPr>
              <w:spacing w:line="300" w:lineRule="exact"/>
              <w:rPr>
                <w:rFonts w:hint="eastAsia" w:ascii="方正仿宋_GBK" w:hAnsi="方正仿宋_GBK" w:eastAsia="宋体" w:cs="方正仿宋_GBK"/>
                <w:b/>
                <w:bCs/>
                <w:szCs w:val="21"/>
              </w:rPr>
            </w:pPr>
            <w:r>
              <w:rPr>
                <w:rFonts w:hint="eastAsia" w:ascii="方正仿宋_GBK" w:hAnsi="Calibri" w:eastAsia="宋体" w:cs="宋体"/>
                <w:b/>
                <w:bCs/>
                <w:szCs w:val="21"/>
                <w:lang w:bidi="ar"/>
              </w:rPr>
              <w:t xml:space="preserve">数据治理工作区改造</w:t>
            </w:r>
            <w:r/>
          </w:p>
        </w:tc>
      </w:tr>
      <w:tr>
        <w:trPr>
          <w:jc w:val="center"/>
          <w:trHeight w:val="397"/>
        </w:trPr>
        <w:tc>
          <w:tcPr>
            <w:tcBorders>
              <w:top w:val="none" w:color="000000" w:sz="4" w:space="0"/>
              <w:left w:val="single" w:color="auto" w:sz="4" w:space="0"/>
              <w:bottom w:val="single" w:color="auto" w:sz="4" w:space="0"/>
              <w:right w:val="single" w:color="auto" w:sz="4" w:space="0"/>
            </w:tcBorders>
            <w:tcW w:w="523"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方正仿宋_GBK" w:eastAsia="宋体" w:cs="方正仿宋_GBK"/>
                <w:szCs w:val="21"/>
                <w:lang w:bidi="ar"/>
              </w:rPr>
              <w:t xml:space="preserve">1</w:t>
            </w:r>
            <w:r/>
          </w:p>
        </w:tc>
        <w:tc>
          <w:tcPr>
            <w:tcBorders>
              <w:top w:val="none" w:color="000000" w:sz="4" w:space="0"/>
              <w:left w:val="none" w:color="000000" w:sz="4" w:space="0"/>
              <w:bottom w:val="single" w:color="auto" w:sz="4" w:space="0"/>
              <w:right w:val="single" w:color="auto" w:sz="4" w:space="0"/>
            </w:tcBorders>
            <w:tcW w:w="1937"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Calibri" w:eastAsia="宋体" w:cs="宋体"/>
                <w:szCs w:val="21"/>
                <w:lang w:bidi="ar"/>
              </w:rPr>
              <w:t xml:space="preserve">门禁系统（含人脸识别）</w:t>
            </w:r>
            <w:r/>
          </w:p>
        </w:tc>
        <w:tc>
          <w:tcPr>
            <w:tcBorders>
              <w:top w:val="none" w:color="000000" w:sz="4" w:space="0"/>
              <w:left w:val="none" w:color="000000" w:sz="4" w:space="0"/>
              <w:bottom w:val="single" w:color="auto" w:sz="4" w:space="0"/>
              <w:right w:val="single" w:color="auto" w:sz="4" w:space="0"/>
            </w:tcBorders>
            <w:tcW w:w="1273"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方正仿宋_GBK" w:eastAsia="宋体" w:cs="方正仿宋_GBK"/>
                <w:szCs w:val="21"/>
                <w:lang w:bidi="ar"/>
              </w:rPr>
              <w:t xml:space="preserve">7</w:t>
            </w:r>
            <w:r>
              <w:rPr>
                <w:rFonts w:hint="eastAsia" w:ascii="方正仿宋_GBK" w:hAnsi="Calibri" w:eastAsia="宋体" w:cs="宋体"/>
                <w:szCs w:val="21"/>
                <w:lang w:bidi="ar"/>
              </w:rPr>
              <w:t xml:space="preserve">寸人脸门禁</w:t>
            </w:r>
            <w:r/>
          </w:p>
        </w:tc>
        <w:tc>
          <w:tcPr>
            <w:tcBorders>
              <w:top w:val="none" w:color="000000" w:sz="4" w:space="0"/>
              <w:left w:val="none" w:color="000000" w:sz="4" w:space="0"/>
              <w:bottom w:val="single" w:color="auto" w:sz="4" w:space="0"/>
              <w:right w:val="single" w:color="auto" w:sz="4" w:space="0"/>
            </w:tcBorders>
            <w:tcW w:w="672"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方正仿宋_GBK" w:eastAsia="宋体" w:cs="方正仿宋_GBK"/>
                <w:szCs w:val="21"/>
                <w:lang w:bidi="ar"/>
              </w:rPr>
              <w:t xml:space="preserve">1</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Calibri" w:eastAsia="宋体" w:cs="宋体"/>
                <w:szCs w:val="21"/>
                <w:lang w:bidi="ar"/>
              </w:rPr>
              <w:t xml:space="preserve">套</w:t>
            </w:r>
            <w:r/>
          </w:p>
        </w:tc>
      </w:tr>
      <w:tr>
        <w:trPr>
          <w:jc w:val="center"/>
          <w:trHeight w:val="397"/>
        </w:trPr>
        <w:tc>
          <w:tcPr>
            <w:tcBorders>
              <w:top w:val="none" w:color="000000" w:sz="4" w:space="0"/>
              <w:left w:val="single" w:color="auto" w:sz="4" w:space="0"/>
              <w:bottom w:val="single" w:color="auto" w:sz="4" w:space="0"/>
              <w:right w:val="single" w:color="auto" w:sz="4" w:space="0"/>
            </w:tcBorders>
            <w:tcW w:w="523"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方正仿宋_GBK" w:eastAsia="宋体" w:cs="方正仿宋_GBK"/>
                <w:szCs w:val="21"/>
                <w:lang w:bidi="ar"/>
              </w:rPr>
              <w:t xml:space="preserve">2</w:t>
            </w:r>
            <w:r/>
          </w:p>
        </w:tc>
        <w:tc>
          <w:tcPr>
            <w:tcBorders>
              <w:top w:val="none" w:color="000000" w:sz="4" w:space="0"/>
              <w:left w:val="none" w:color="000000" w:sz="4" w:space="0"/>
              <w:bottom w:val="single" w:color="auto" w:sz="4" w:space="0"/>
              <w:right w:val="single" w:color="auto" w:sz="4" w:space="0"/>
            </w:tcBorders>
            <w:tcW w:w="1937"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Calibri" w:eastAsia="宋体" w:cs="宋体"/>
                <w:szCs w:val="21"/>
                <w:lang w:bidi="ar"/>
              </w:rPr>
              <w:t xml:space="preserve">视频监控</w:t>
            </w:r>
            <w:r/>
          </w:p>
        </w:tc>
        <w:tc>
          <w:tcPr>
            <w:tcBorders>
              <w:top w:val="none" w:color="000000" w:sz="4" w:space="0"/>
              <w:left w:val="none" w:color="000000" w:sz="4" w:space="0"/>
              <w:bottom w:val="single" w:color="auto" w:sz="4" w:space="0"/>
              <w:right w:val="single" w:color="auto" w:sz="4" w:space="0"/>
            </w:tcBorders>
            <w:tcW w:w="1273"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方正仿宋_GBK" w:eastAsia="宋体" w:cs="方正仿宋_GBK"/>
                <w:szCs w:val="21"/>
                <w:lang w:bidi="ar"/>
              </w:rPr>
              <w:t xml:space="preserve">400</w:t>
            </w:r>
            <w:r>
              <w:rPr>
                <w:rFonts w:hint="eastAsia" w:ascii="方正仿宋_GBK" w:hAnsi="Calibri" w:eastAsia="宋体" w:cs="宋体"/>
                <w:szCs w:val="21"/>
                <w:lang w:bidi="ar"/>
              </w:rPr>
              <w:t xml:space="preserve">万像素</w:t>
            </w:r>
            <w:r/>
          </w:p>
        </w:tc>
        <w:tc>
          <w:tcPr>
            <w:tcBorders>
              <w:top w:val="none" w:color="000000" w:sz="4" w:space="0"/>
              <w:left w:val="none" w:color="000000" w:sz="4" w:space="0"/>
              <w:bottom w:val="single" w:color="auto" w:sz="4" w:space="0"/>
              <w:right w:val="single" w:color="auto" w:sz="4" w:space="0"/>
            </w:tcBorders>
            <w:tcW w:w="672"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方正仿宋_GBK" w:eastAsia="宋体" w:cs="方正仿宋_GBK"/>
                <w:szCs w:val="21"/>
                <w:lang w:bidi="ar"/>
              </w:rPr>
              <w:t xml:space="preserve">4</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Calibri" w:eastAsia="宋体" w:cs="宋体"/>
                <w:szCs w:val="21"/>
                <w:lang w:bidi="ar"/>
              </w:rPr>
              <w:t xml:space="preserve">个</w:t>
            </w:r>
            <w:r/>
          </w:p>
        </w:tc>
      </w:tr>
      <w:tr>
        <w:trPr>
          <w:jc w:val="center"/>
          <w:trHeight w:val="397"/>
        </w:trPr>
        <w:tc>
          <w:tcPr>
            <w:tcBorders>
              <w:top w:val="none" w:color="000000" w:sz="4" w:space="0"/>
              <w:left w:val="single" w:color="auto" w:sz="4" w:space="0"/>
              <w:bottom w:val="single" w:color="auto" w:sz="4" w:space="0"/>
              <w:right w:val="single" w:color="auto" w:sz="4" w:space="0"/>
            </w:tcBorders>
            <w:tcW w:w="523"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方正仿宋_GBK" w:eastAsia="宋体" w:cs="方正仿宋_GBK"/>
                <w:szCs w:val="21"/>
                <w:lang w:bidi="ar"/>
              </w:rPr>
              <w:t xml:space="preserve">3</w:t>
            </w:r>
            <w:r/>
          </w:p>
        </w:tc>
        <w:tc>
          <w:tcPr>
            <w:tcBorders>
              <w:top w:val="none" w:color="000000" w:sz="4" w:space="0"/>
              <w:left w:val="none" w:color="000000" w:sz="4" w:space="0"/>
              <w:bottom w:val="single" w:color="auto" w:sz="4" w:space="0"/>
              <w:right w:val="single" w:color="auto" w:sz="4" w:space="0"/>
            </w:tcBorders>
            <w:tcW w:w="1937"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Calibri" w:eastAsia="宋体" w:cs="宋体"/>
                <w:szCs w:val="21"/>
                <w:lang w:bidi="ar"/>
              </w:rPr>
              <w:t xml:space="preserve">网络录像机</w:t>
            </w:r>
            <w:r/>
          </w:p>
        </w:tc>
        <w:tc>
          <w:tcPr>
            <w:tcBorders>
              <w:top w:val="none" w:color="000000" w:sz="4" w:space="0"/>
              <w:left w:val="none" w:color="000000" w:sz="4" w:space="0"/>
              <w:bottom w:val="single" w:color="auto" w:sz="4" w:space="0"/>
              <w:right w:val="single" w:color="auto" w:sz="4" w:space="0"/>
            </w:tcBorders>
            <w:tcW w:w="1273"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方正仿宋_GBK" w:eastAsia="宋体" w:cs="方正仿宋_GBK"/>
                <w:szCs w:val="21"/>
                <w:lang w:bidi="ar"/>
              </w:rPr>
              <w:t xml:space="preserve">8</w:t>
            </w:r>
            <w:r>
              <w:rPr>
                <w:rFonts w:hint="eastAsia" w:ascii="方正仿宋_GBK" w:hAnsi="Calibri" w:eastAsia="宋体" w:cs="宋体"/>
                <w:szCs w:val="21"/>
                <w:lang w:bidi="ar"/>
              </w:rPr>
              <w:t xml:space="preserve">路硬盘录像机</w:t>
            </w:r>
            <w:r/>
          </w:p>
        </w:tc>
        <w:tc>
          <w:tcPr>
            <w:tcBorders>
              <w:top w:val="none" w:color="000000" w:sz="4" w:space="0"/>
              <w:left w:val="none" w:color="000000" w:sz="4" w:space="0"/>
              <w:bottom w:val="single" w:color="auto" w:sz="4" w:space="0"/>
              <w:right w:val="single" w:color="auto" w:sz="4" w:space="0"/>
            </w:tcBorders>
            <w:tcW w:w="672"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方正仿宋_GBK" w:eastAsia="宋体" w:cs="方正仿宋_GBK"/>
                <w:szCs w:val="21"/>
                <w:lang w:bidi="ar"/>
              </w:rPr>
              <w:t xml:space="preserve">1</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Calibri" w:eastAsia="宋体" w:cs="宋体"/>
                <w:szCs w:val="21"/>
                <w:lang w:bidi="ar"/>
              </w:rPr>
              <w:t xml:space="preserve">台</w:t>
            </w:r>
            <w:r/>
          </w:p>
        </w:tc>
      </w:tr>
      <w:tr>
        <w:trPr>
          <w:jc w:val="center"/>
          <w:trHeight w:val="397"/>
        </w:trPr>
        <w:tc>
          <w:tcPr>
            <w:tcBorders>
              <w:top w:val="none" w:color="000000" w:sz="4" w:space="0"/>
              <w:left w:val="single" w:color="auto" w:sz="4" w:space="0"/>
              <w:bottom w:val="single" w:color="auto" w:sz="4" w:space="0"/>
              <w:right w:val="single" w:color="auto" w:sz="4" w:space="0"/>
            </w:tcBorders>
            <w:tcW w:w="523"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方正仿宋_GBK" w:eastAsia="宋体" w:cs="方正仿宋_GBK"/>
                <w:szCs w:val="21"/>
                <w:lang w:bidi="ar"/>
              </w:rPr>
              <w:t xml:space="preserve">4</w:t>
            </w:r>
            <w:r/>
          </w:p>
        </w:tc>
        <w:tc>
          <w:tcPr>
            <w:tcBorders>
              <w:top w:val="none" w:color="000000" w:sz="4" w:space="0"/>
              <w:left w:val="none" w:color="000000" w:sz="4" w:space="0"/>
              <w:bottom w:val="single" w:color="auto" w:sz="4" w:space="0"/>
              <w:right w:val="single" w:color="auto" w:sz="4" w:space="0"/>
            </w:tcBorders>
            <w:tcW w:w="1937"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Calibri" w:eastAsia="宋体" w:cs="宋体"/>
                <w:szCs w:val="21"/>
                <w:lang w:bidi="ar"/>
              </w:rPr>
              <w:t xml:space="preserve">显示大屏</w:t>
            </w:r>
            <w:r/>
          </w:p>
        </w:tc>
        <w:tc>
          <w:tcPr>
            <w:tcBorders>
              <w:top w:val="none" w:color="000000" w:sz="4" w:space="0"/>
              <w:left w:val="none" w:color="000000" w:sz="4" w:space="0"/>
              <w:bottom w:val="single" w:color="auto" w:sz="4" w:space="0"/>
              <w:right w:val="single" w:color="auto" w:sz="4" w:space="0"/>
            </w:tcBorders>
            <w:tcW w:w="1273"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方正仿宋_GBK" w:eastAsia="宋体" w:cs="方正仿宋_GBK"/>
                <w:szCs w:val="21"/>
                <w:lang w:bidi="ar"/>
              </w:rPr>
              <w:t xml:space="preserve">65</w:t>
            </w:r>
            <w:r>
              <w:rPr>
                <w:rFonts w:hint="eastAsia" w:ascii="方正仿宋_GBK" w:hAnsi="Calibri" w:eastAsia="宋体" w:cs="宋体"/>
                <w:szCs w:val="21"/>
                <w:lang w:bidi="ar"/>
              </w:rPr>
              <w:t xml:space="preserve">寸智慧屏</w:t>
            </w:r>
            <w:r/>
          </w:p>
        </w:tc>
        <w:tc>
          <w:tcPr>
            <w:tcBorders>
              <w:top w:val="none" w:color="000000" w:sz="4" w:space="0"/>
              <w:left w:val="none" w:color="000000" w:sz="4" w:space="0"/>
              <w:bottom w:val="single" w:color="auto" w:sz="4" w:space="0"/>
              <w:right w:val="single" w:color="auto" w:sz="4" w:space="0"/>
            </w:tcBorders>
            <w:tcW w:w="672"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方正仿宋_GBK" w:eastAsia="宋体" w:cs="方正仿宋_GBK"/>
                <w:szCs w:val="21"/>
                <w:lang w:bidi="ar"/>
              </w:rPr>
              <w:t xml:space="preserve">1</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Calibri" w:eastAsia="宋体" w:cs="宋体"/>
                <w:szCs w:val="21"/>
                <w:lang w:bidi="ar"/>
              </w:rPr>
              <w:t xml:space="preserve">台</w:t>
            </w:r>
            <w:r/>
          </w:p>
        </w:tc>
      </w:tr>
      <w:tr>
        <w:trPr>
          <w:jc w:val="center"/>
          <w:trHeight w:val="397"/>
        </w:trPr>
        <w:tc>
          <w:tcPr>
            <w:tcBorders>
              <w:top w:val="none" w:color="000000" w:sz="4" w:space="0"/>
              <w:left w:val="single" w:color="auto" w:sz="4" w:space="0"/>
              <w:bottom w:val="single" w:color="auto" w:sz="4" w:space="0"/>
              <w:right w:val="single" w:color="auto" w:sz="4" w:space="0"/>
            </w:tcBorders>
            <w:tcW w:w="523"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方正仿宋_GBK" w:eastAsia="宋体" w:cs="方正仿宋_GBK"/>
                <w:szCs w:val="21"/>
                <w:lang w:bidi="ar"/>
              </w:rPr>
              <w:t xml:space="preserve">5</w:t>
            </w:r>
            <w:r/>
          </w:p>
        </w:tc>
        <w:tc>
          <w:tcPr>
            <w:tcBorders>
              <w:top w:val="none" w:color="000000" w:sz="4" w:space="0"/>
              <w:left w:val="none" w:color="000000" w:sz="4" w:space="0"/>
              <w:bottom w:val="single" w:color="auto" w:sz="4" w:space="0"/>
              <w:right w:val="single" w:color="auto" w:sz="4" w:space="0"/>
            </w:tcBorders>
            <w:tcW w:w="1937"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Calibri" w:eastAsia="宋体" w:cs="宋体"/>
                <w:szCs w:val="21"/>
                <w:lang w:bidi="ar"/>
              </w:rPr>
              <w:t xml:space="preserve">显示器（用于云终端）</w:t>
            </w:r>
            <w:r/>
          </w:p>
        </w:tc>
        <w:tc>
          <w:tcPr>
            <w:tcBorders>
              <w:top w:val="none" w:color="000000" w:sz="4" w:space="0"/>
              <w:left w:val="none" w:color="000000" w:sz="4" w:space="0"/>
              <w:bottom w:val="single" w:color="auto" w:sz="4" w:space="0"/>
              <w:right w:val="single" w:color="auto" w:sz="4" w:space="0"/>
            </w:tcBorders>
            <w:tcW w:w="1273"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方正仿宋_GBK" w:eastAsia="宋体" w:cs="方正仿宋_GBK"/>
                <w:szCs w:val="21"/>
                <w:lang w:bidi="ar"/>
              </w:rPr>
              <w:t xml:space="preserve">27</w:t>
            </w:r>
            <w:r>
              <w:rPr>
                <w:rFonts w:hint="eastAsia" w:ascii="方正仿宋_GBK" w:hAnsi="Calibri" w:eastAsia="宋体" w:cs="宋体"/>
                <w:szCs w:val="21"/>
                <w:lang w:bidi="ar"/>
              </w:rPr>
              <w:t xml:space="preserve">寸显示器</w:t>
            </w:r>
            <w:r/>
          </w:p>
        </w:tc>
        <w:tc>
          <w:tcPr>
            <w:tcBorders>
              <w:top w:val="none" w:color="000000" w:sz="4" w:space="0"/>
              <w:left w:val="none" w:color="000000" w:sz="4" w:space="0"/>
              <w:bottom w:val="single" w:color="auto" w:sz="4" w:space="0"/>
              <w:right w:val="single" w:color="auto" w:sz="4" w:space="0"/>
            </w:tcBorders>
            <w:tcW w:w="672"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方正仿宋_GBK" w:eastAsia="宋体" w:cs="方正仿宋_GBK"/>
                <w:szCs w:val="21"/>
                <w:lang w:bidi="ar"/>
              </w:rPr>
              <w:t xml:space="preserve">10</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Calibri" w:eastAsia="宋体" w:cs="宋体"/>
                <w:szCs w:val="21"/>
                <w:lang w:bidi="ar"/>
              </w:rPr>
              <w:t xml:space="preserve">套</w:t>
            </w:r>
            <w:r/>
          </w:p>
        </w:tc>
      </w:tr>
      <w:tr>
        <w:trPr>
          <w:jc w:val="center"/>
          <w:trHeight w:val="397"/>
        </w:trPr>
        <w:tc>
          <w:tcPr>
            <w:tcBorders>
              <w:top w:val="none" w:color="000000" w:sz="4" w:space="0"/>
              <w:left w:val="single" w:color="auto" w:sz="4" w:space="0"/>
              <w:bottom w:val="single" w:color="auto" w:sz="4" w:space="0"/>
              <w:right w:val="single" w:color="auto" w:sz="4" w:space="0"/>
            </w:tcBorders>
            <w:tcW w:w="523" w:type="pct"/>
            <w:vAlign w:val="center"/>
            <w:textDirection w:val="lrTb"/>
            <w:noWrap w:val="false"/>
          </w:tcPr>
          <w:p>
            <w:pPr>
              <w:jc w:val="center"/>
              <w:spacing w:line="300" w:lineRule="exact"/>
              <w:rPr>
                <w:rFonts w:hint="eastAsia" w:ascii="方正仿宋_GBK" w:hAnsi="方正仿宋_GBK" w:eastAsia="宋体" w:cs="方正仿宋_GBK"/>
                <w:b/>
                <w:bCs/>
                <w:szCs w:val="21"/>
              </w:rPr>
            </w:pPr>
            <w:r>
              <w:rPr>
                <w:rFonts w:hint="eastAsia" w:ascii="方正仿宋_GBK" w:hAnsi="Calibri" w:eastAsia="宋体" w:cs="宋体"/>
                <w:b/>
                <w:bCs/>
                <w:szCs w:val="21"/>
                <w:lang w:bidi="ar"/>
              </w:rPr>
              <w:t xml:space="preserve">二</w:t>
            </w:r>
            <w:r/>
          </w:p>
        </w:tc>
        <w:tc>
          <w:tcPr>
            <w:gridSpan w:val="4"/>
            <w:tcBorders>
              <w:top w:val="none" w:color="000000" w:sz="4" w:space="0"/>
              <w:left w:val="single" w:color="auto" w:sz="4" w:space="0"/>
              <w:bottom w:val="single" w:color="auto" w:sz="4" w:space="0"/>
              <w:right w:val="single" w:color="auto" w:sz="4" w:space="0"/>
            </w:tcBorders>
            <w:tcW w:w="4476" w:type="pct"/>
            <w:vAlign w:val="center"/>
            <w:textDirection w:val="lrTb"/>
            <w:noWrap w:val="false"/>
          </w:tcPr>
          <w:p>
            <w:pPr>
              <w:spacing w:line="300" w:lineRule="exact"/>
              <w:rPr>
                <w:rFonts w:hint="eastAsia" w:ascii="方正仿宋_GBK" w:hAnsi="方正仿宋_GBK" w:eastAsia="宋体" w:cs="方正仿宋_GBK"/>
                <w:b/>
                <w:bCs/>
                <w:szCs w:val="21"/>
              </w:rPr>
            </w:pPr>
            <w:r>
              <w:rPr>
                <w:rFonts w:hint="eastAsia" w:ascii="方正仿宋_GBK" w:hAnsi="Calibri" w:eastAsia="宋体" w:cs="宋体"/>
                <w:b/>
                <w:bCs/>
                <w:szCs w:val="21"/>
                <w:lang w:bidi="ar"/>
              </w:rPr>
              <w:t xml:space="preserve">平台运维和安全管理工作区改造</w:t>
            </w:r>
            <w:r/>
          </w:p>
        </w:tc>
      </w:tr>
      <w:tr>
        <w:trPr>
          <w:jc w:val="center"/>
          <w:trHeight w:val="397"/>
        </w:trPr>
        <w:tc>
          <w:tcPr>
            <w:tcBorders>
              <w:top w:val="none" w:color="000000" w:sz="4" w:space="0"/>
              <w:left w:val="single" w:color="auto" w:sz="4" w:space="0"/>
              <w:bottom w:val="single" w:color="auto" w:sz="4" w:space="0"/>
              <w:right w:val="single" w:color="auto" w:sz="4" w:space="0"/>
            </w:tcBorders>
            <w:tcW w:w="523"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方正仿宋_GBK" w:eastAsia="宋体" w:cs="方正仿宋_GBK"/>
                <w:szCs w:val="21"/>
                <w:lang w:bidi="ar"/>
              </w:rPr>
              <w:t xml:space="preserve">1</w:t>
            </w:r>
            <w:r/>
          </w:p>
        </w:tc>
        <w:tc>
          <w:tcPr>
            <w:tcBorders>
              <w:top w:val="none" w:color="000000" w:sz="4" w:space="0"/>
              <w:left w:val="none" w:color="000000" w:sz="4" w:space="0"/>
              <w:bottom w:val="single" w:color="auto" w:sz="4" w:space="0"/>
              <w:right w:val="single" w:color="auto" w:sz="4" w:space="0"/>
            </w:tcBorders>
            <w:tcW w:w="1937"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Calibri" w:eastAsia="宋体" w:cs="宋体"/>
                <w:szCs w:val="21"/>
                <w:lang w:bidi="ar"/>
              </w:rPr>
              <w:t xml:space="preserve">门禁系统（含人脸识别）</w:t>
            </w:r>
            <w:r/>
          </w:p>
        </w:tc>
        <w:tc>
          <w:tcPr>
            <w:tcBorders>
              <w:top w:val="none" w:color="000000" w:sz="4" w:space="0"/>
              <w:left w:val="none" w:color="000000" w:sz="4" w:space="0"/>
              <w:bottom w:val="single" w:color="auto" w:sz="4" w:space="0"/>
              <w:right w:val="single" w:color="auto" w:sz="4" w:space="0"/>
            </w:tcBorders>
            <w:tcW w:w="1273"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方正仿宋_GBK" w:eastAsia="宋体" w:cs="方正仿宋_GBK"/>
                <w:szCs w:val="21"/>
                <w:lang w:bidi="ar"/>
              </w:rPr>
              <w:t xml:space="preserve">7</w:t>
            </w:r>
            <w:r>
              <w:rPr>
                <w:rFonts w:hint="eastAsia" w:ascii="方正仿宋_GBK" w:hAnsi="Calibri" w:eastAsia="宋体" w:cs="宋体"/>
                <w:szCs w:val="21"/>
                <w:lang w:bidi="ar"/>
              </w:rPr>
              <w:t xml:space="preserve">寸人脸门禁</w:t>
            </w:r>
            <w:r/>
          </w:p>
        </w:tc>
        <w:tc>
          <w:tcPr>
            <w:tcBorders>
              <w:top w:val="none" w:color="000000" w:sz="4" w:space="0"/>
              <w:left w:val="none" w:color="000000" w:sz="4" w:space="0"/>
              <w:bottom w:val="single" w:color="auto" w:sz="4" w:space="0"/>
              <w:right w:val="single" w:color="auto" w:sz="4" w:space="0"/>
            </w:tcBorders>
            <w:tcW w:w="672"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方正仿宋_GBK" w:eastAsia="宋体" w:cs="方正仿宋_GBK"/>
                <w:szCs w:val="21"/>
                <w:lang w:bidi="ar"/>
              </w:rPr>
              <w:t xml:space="preserve">1</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Calibri" w:eastAsia="宋体" w:cs="宋体"/>
                <w:szCs w:val="21"/>
                <w:lang w:bidi="ar"/>
              </w:rPr>
              <w:t xml:space="preserve">套</w:t>
            </w:r>
            <w:r/>
          </w:p>
        </w:tc>
      </w:tr>
      <w:tr>
        <w:trPr>
          <w:jc w:val="center"/>
          <w:trHeight w:val="397"/>
        </w:trPr>
        <w:tc>
          <w:tcPr>
            <w:tcBorders>
              <w:top w:val="none" w:color="000000" w:sz="4" w:space="0"/>
              <w:left w:val="single" w:color="auto" w:sz="4" w:space="0"/>
              <w:bottom w:val="single" w:color="auto" w:sz="4" w:space="0"/>
              <w:right w:val="single" w:color="auto" w:sz="4" w:space="0"/>
            </w:tcBorders>
            <w:tcW w:w="523"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方正仿宋_GBK" w:eastAsia="宋体" w:cs="方正仿宋_GBK"/>
                <w:szCs w:val="21"/>
                <w:lang w:bidi="ar"/>
              </w:rPr>
              <w:t xml:space="preserve">2</w:t>
            </w:r>
            <w:r/>
          </w:p>
        </w:tc>
        <w:tc>
          <w:tcPr>
            <w:tcBorders>
              <w:top w:val="none" w:color="000000" w:sz="4" w:space="0"/>
              <w:left w:val="none" w:color="000000" w:sz="4" w:space="0"/>
              <w:bottom w:val="single" w:color="auto" w:sz="4" w:space="0"/>
              <w:right w:val="single" w:color="auto" w:sz="4" w:space="0"/>
            </w:tcBorders>
            <w:tcW w:w="1937"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Calibri" w:eastAsia="宋体" w:cs="宋体"/>
                <w:szCs w:val="21"/>
                <w:lang w:bidi="ar"/>
              </w:rPr>
              <w:t xml:space="preserve">视频监控</w:t>
            </w:r>
            <w:r/>
          </w:p>
        </w:tc>
        <w:tc>
          <w:tcPr>
            <w:tcBorders>
              <w:top w:val="none" w:color="000000" w:sz="4" w:space="0"/>
              <w:left w:val="none" w:color="000000" w:sz="4" w:space="0"/>
              <w:bottom w:val="single" w:color="auto" w:sz="4" w:space="0"/>
              <w:right w:val="single" w:color="auto" w:sz="4" w:space="0"/>
            </w:tcBorders>
            <w:tcW w:w="1273"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方正仿宋_GBK" w:eastAsia="宋体" w:cs="方正仿宋_GBK"/>
                <w:szCs w:val="21"/>
                <w:lang w:bidi="ar"/>
              </w:rPr>
              <w:t xml:space="preserve">400</w:t>
            </w:r>
            <w:r>
              <w:rPr>
                <w:rFonts w:hint="eastAsia" w:ascii="方正仿宋_GBK" w:hAnsi="Calibri" w:eastAsia="宋体" w:cs="宋体"/>
                <w:szCs w:val="21"/>
                <w:lang w:bidi="ar"/>
              </w:rPr>
              <w:t xml:space="preserve">万像素</w:t>
            </w:r>
            <w:r/>
          </w:p>
        </w:tc>
        <w:tc>
          <w:tcPr>
            <w:tcBorders>
              <w:top w:val="none" w:color="000000" w:sz="4" w:space="0"/>
              <w:left w:val="none" w:color="000000" w:sz="4" w:space="0"/>
              <w:bottom w:val="single" w:color="auto" w:sz="4" w:space="0"/>
              <w:right w:val="single" w:color="auto" w:sz="4" w:space="0"/>
            </w:tcBorders>
            <w:tcW w:w="672"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方正仿宋_GBK" w:eastAsia="宋体" w:cs="方正仿宋_GBK"/>
                <w:szCs w:val="21"/>
                <w:lang w:bidi="ar"/>
              </w:rPr>
              <w:t xml:space="preserve">2</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Calibri" w:eastAsia="宋体" w:cs="宋体"/>
                <w:szCs w:val="21"/>
                <w:lang w:bidi="ar"/>
              </w:rPr>
              <w:t xml:space="preserve">个</w:t>
            </w:r>
            <w:r/>
          </w:p>
        </w:tc>
      </w:tr>
      <w:tr>
        <w:trPr>
          <w:jc w:val="center"/>
          <w:trHeight w:val="397"/>
        </w:trPr>
        <w:tc>
          <w:tcPr>
            <w:tcBorders>
              <w:top w:val="none" w:color="000000" w:sz="4" w:space="0"/>
              <w:left w:val="single" w:color="auto" w:sz="4" w:space="0"/>
              <w:bottom w:val="single" w:color="auto" w:sz="4" w:space="0"/>
              <w:right w:val="single" w:color="auto" w:sz="4" w:space="0"/>
            </w:tcBorders>
            <w:tcW w:w="523"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方正仿宋_GBK" w:eastAsia="宋体" w:cs="方正仿宋_GBK"/>
                <w:szCs w:val="21"/>
                <w:lang w:bidi="ar"/>
              </w:rPr>
              <w:t xml:space="preserve">3</w:t>
            </w:r>
            <w:r/>
          </w:p>
        </w:tc>
        <w:tc>
          <w:tcPr>
            <w:tcBorders>
              <w:top w:val="none" w:color="000000" w:sz="4" w:space="0"/>
              <w:left w:val="none" w:color="000000" w:sz="4" w:space="0"/>
              <w:bottom w:val="single" w:color="auto" w:sz="4" w:space="0"/>
              <w:right w:val="single" w:color="auto" w:sz="4" w:space="0"/>
            </w:tcBorders>
            <w:tcW w:w="1937"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Calibri" w:eastAsia="宋体" w:cs="宋体"/>
                <w:szCs w:val="21"/>
                <w:lang w:bidi="ar"/>
              </w:rPr>
              <w:t xml:space="preserve">网络录像机</w:t>
            </w:r>
            <w:r/>
          </w:p>
        </w:tc>
        <w:tc>
          <w:tcPr>
            <w:tcBorders>
              <w:top w:val="none" w:color="000000" w:sz="4" w:space="0"/>
              <w:left w:val="none" w:color="000000" w:sz="4" w:space="0"/>
              <w:bottom w:val="single" w:color="auto" w:sz="4" w:space="0"/>
              <w:right w:val="single" w:color="auto" w:sz="4" w:space="0"/>
            </w:tcBorders>
            <w:tcW w:w="1273"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方正仿宋_GBK" w:eastAsia="宋体" w:cs="方正仿宋_GBK"/>
                <w:szCs w:val="21"/>
                <w:lang w:bidi="ar"/>
              </w:rPr>
              <w:t xml:space="preserve">8</w:t>
            </w:r>
            <w:r>
              <w:rPr>
                <w:rFonts w:hint="eastAsia" w:ascii="方正仿宋_GBK" w:hAnsi="Calibri" w:eastAsia="宋体" w:cs="宋体"/>
                <w:szCs w:val="21"/>
                <w:lang w:bidi="ar"/>
              </w:rPr>
              <w:t xml:space="preserve">路硬盘录像机</w:t>
            </w:r>
            <w:r/>
          </w:p>
        </w:tc>
        <w:tc>
          <w:tcPr>
            <w:tcBorders>
              <w:top w:val="none" w:color="000000" w:sz="4" w:space="0"/>
              <w:left w:val="none" w:color="000000" w:sz="4" w:space="0"/>
              <w:bottom w:val="single" w:color="auto" w:sz="4" w:space="0"/>
              <w:right w:val="single" w:color="auto" w:sz="4" w:space="0"/>
            </w:tcBorders>
            <w:tcW w:w="672"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方正仿宋_GBK" w:eastAsia="宋体" w:cs="方正仿宋_GBK"/>
                <w:szCs w:val="21"/>
                <w:lang w:bidi="ar"/>
              </w:rPr>
              <w:t xml:space="preserve">1</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Calibri" w:eastAsia="宋体" w:cs="宋体"/>
                <w:szCs w:val="21"/>
                <w:lang w:bidi="ar"/>
              </w:rPr>
              <w:t xml:space="preserve">台</w:t>
            </w:r>
            <w:r/>
          </w:p>
        </w:tc>
      </w:tr>
      <w:tr>
        <w:trPr>
          <w:jc w:val="center"/>
          <w:trHeight w:val="397"/>
        </w:trPr>
        <w:tc>
          <w:tcPr>
            <w:tcBorders>
              <w:top w:val="none" w:color="000000" w:sz="4" w:space="0"/>
              <w:left w:val="single" w:color="auto" w:sz="4" w:space="0"/>
              <w:bottom w:val="single" w:color="auto" w:sz="4" w:space="0"/>
              <w:right w:val="single" w:color="auto" w:sz="4" w:space="0"/>
            </w:tcBorders>
            <w:tcW w:w="523"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方正仿宋_GBK" w:eastAsia="宋体" w:cs="方正仿宋_GBK"/>
                <w:szCs w:val="21"/>
                <w:lang w:bidi="ar"/>
              </w:rPr>
              <w:t xml:space="preserve">4</w:t>
            </w:r>
            <w:r/>
          </w:p>
        </w:tc>
        <w:tc>
          <w:tcPr>
            <w:tcBorders>
              <w:top w:val="none" w:color="000000" w:sz="4" w:space="0"/>
              <w:left w:val="none" w:color="000000" w:sz="4" w:space="0"/>
              <w:bottom w:val="single" w:color="auto" w:sz="4" w:space="0"/>
              <w:right w:val="single" w:color="auto" w:sz="4" w:space="0"/>
            </w:tcBorders>
            <w:tcW w:w="1937"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Calibri" w:eastAsia="宋体" w:cs="宋体"/>
                <w:szCs w:val="21"/>
                <w:lang w:bidi="ar"/>
              </w:rPr>
              <w:t xml:space="preserve">显示器（用于云终端）</w:t>
            </w:r>
            <w:r/>
          </w:p>
        </w:tc>
        <w:tc>
          <w:tcPr>
            <w:tcBorders>
              <w:top w:val="none" w:color="000000" w:sz="4" w:space="0"/>
              <w:left w:val="none" w:color="000000" w:sz="4" w:space="0"/>
              <w:bottom w:val="single" w:color="auto" w:sz="4" w:space="0"/>
              <w:right w:val="single" w:color="auto" w:sz="4" w:space="0"/>
            </w:tcBorders>
            <w:tcW w:w="1273"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方正仿宋_GBK" w:eastAsia="宋体" w:cs="方正仿宋_GBK"/>
                <w:szCs w:val="21"/>
                <w:lang w:bidi="ar"/>
              </w:rPr>
              <w:t xml:space="preserve">27</w:t>
            </w:r>
            <w:r>
              <w:rPr>
                <w:rFonts w:hint="eastAsia" w:ascii="方正仿宋_GBK" w:hAnsi="Calibri" w:eastAsia="宋体" w:cs="宋体"/>
                <w:szCs w:val="21"/>
                <w:lang w:bidi="ar"/>
              </w:rPr>
              <w:t xml:space="preserve">寸显示器</w:t>
            </w:r>
            <w:r/>
          </w:p>
        </w:tc>
        <w:tc>
          <w:tcPr>
            <w:tcBorders>
              <w:top w:val="none" w:color="000000" w:sz="4" w:space="0"/>
              <w:left w:val="none" w:color="000000" w:sz="4" w:space="0"/>
              <w:bottom w:val="single" w:color="auto" w:sz="4" w:space="0"/>
              <w:right w:val="single" w:color="auto" w:sz="4" w:space="0"/>
            </w:tcBorders>
            <w:tcW w:w="672"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方正仿宋_GBK" w:eastAsia="宋体" w:cs="方正仿宋_GBK"/>
                <w:szCs w:val="21"/>
                <w:lang w:bidi="ar"/>
              </w:rPr>
              <w:t xml:space="preserve">8</w:t>
            </w:r>
            <w:r/>
          </w:p>
        </w:tc>
        <w:tc>
          <w:tcPr>
            <w:tcBorders>
              <w:top w:val="none" w:color="000000" w:sz="4" w:space="0"/>
              <w:left w:val="none" w:color="000000" w:sz="4" w:space="0"/>
              <w:bottom w:val="single" w:color="auto" w:sz="4" w:space="0"/>
              <w:right w:val="single" w:color="auto" w:sz="4" w:space="0"/>
            </w:tcBorders>
            <w:tcW w:w="593" w:type="pct"/>
            <w:vAlign w:val="center"/>
            <w:textDirection w:val="lrTb"/>
            <w:noWrap w:val="false"/>
          </w:tcPr>
          <w:p>
            <w:pPr>
              <w:jc w:val="center"/>
              <w:spacing w:line="300" w:lineRule="exact"/>
              <w:rPr>
                <w:rFonts w:hint="eastAsia" w:ascii="方正仿宋_GBK" w:hAnsi="方正仿宋_GBK" w:eastAsia="宋体" w:cs="方正仿宋_GBK"/>
                <w:szCs w:val="21"/>
              </w:rPr>
            </w:pPr>
            <w:r>
              <w:rPr>
                <w:rFonts w:hint="eastAsia" w:ascii="方正仿宋_GBK" w:hAnsi="Calibri" w:eastAsia="宋体" w:cs="宋体"/>
                <w:szCs w:val="21"/>
                <w:lang w:bidi="ar"/>
              </w:rPr>
              <w:t xml:space="preserve">套</w:t>
            </w:r>
            <w:r/>
          </w:p>
        </w:tc>
      </w:tr>
    </w:tbl>
    <w:p>
      <w:pPr>
        <w:ind w:firstLine="482"/>
        <w:spacing w:line="560" w:lineRule="exact"/>
        <w:widowControl/>
        <w:rPr>
          <w:rFonts w:ascii="宋体" w:hAnsi="宋体" w:eastAsia="Arial" w:cs="宋体"/>
          <w:b/>
          <w:bCs/>
          <w:sz w:val="24"/>
          <w:szCs w:val="20"/>
        </w:rPr>
        <w:outlineLvl w:val="3"/>
      </w:pPr>
      <w:r>
        <w:rPr>
          <w:rFonts w:hint="eastAsia" w:ascii="宋体" w:hAnsi="宋体" w:eastAsia="宋体" w:cs="宋体"/>
          <w:b/>
          <w:bCs/>
          <w:sz w:val="24"/>
          <w:szCs w:val="20"/>
          <w:lang w:bidi="ar"/>
        </w:rPr>
        <w:t xml:space="preserve">（二）基础设施与应用支撑</w:t>
      </w:r>
      <w:r/>
    </w:p>
    <w:p>
      <w:pPr>
        <w:ind w:firstLine="482"/>
        <w:spacing w:line="560" w:lineRule="exact"/>
        <w:widowControl/>
        <w:rPr>
          <w:rFonts w:hint="eastAsia" w:ascii="宋体" w:hAnsi="宋体" w:eastAsia="宋体" w:cs="宋体"/>
          <w:b/>
          <w:bCs/>
          <w:i/>
          <w:iCs/>
          <w:sz w:val="24"/>
          <w:szCs w:val="20"/>
          <w:highlight w:val="yellow"/>
          <w:u w:val="single"/>
        </w:rPr>
      </w:pPr>
      <w:r>
        <w:rPr>
          <w:rFonts w:hint="eastAsia" w:ascii="宋体" w:hAnsi="宋体" w:eastAsia="宋体" w:cs="宋体"/>
          <w:b/>
          <w:bCs/>
          <w:i/>
          <w:iCs/>
          <w:sz w:val="24"/>
          <w:szCs w:val="20"/>
          <w:u w:val="single"/>
        </w:rPr>
        <w:t xml:space="preserve">★本项目所建平台全部在盐城市政务云环境下运行。项目所需国产化硬件资源（含云主机、云存储、网络安全硬件资源等）及操作系统、数据库、中间件等均由盐城市政务云提供，如政务云提供的相关资源因投标人自身原因不能适配，所需新增资源由投标人自行承担相关费用。（投标人须出具承诺函，</w:t>
      </w:r>
      <w:r>
        <w:rPr>
          <w:rFonts w:hint="eastAsia" w:ascii="宋体" w:hAnsi="宋体" w:eastAsia="宋体" w:cs="宋体"/>
          <w:b/>
          <w:bCs/>
          <w:i/>
          <w:iCs/>
          <w:sz w:val="24"/>
          <w:szCs w:val="20"/>
          <w:u w:val="single"/>
          <w:lang w:val="en-US" w:eastAsia="zh-CN"/>
        </w:rPr>
        <w:t xml:space="preserve">承诺函自制</w:t>
      </w:r>
      <w:r>
        <w:rPr>
          <w:rFonts w:hint="eastAsia" w:ascii="宋体" w:hAnsi="宋体" w:eastAsia="宋体" w:cs="宋体"/>
          <w:b/>
          <w:bCs/>
          <w:i/>
          <w:iCs/>
          <w:sz w:val="24"/>
          <w:szCs w:val="20"/>
          <w:u w:val="single"/>
          <w:lang w:eastAsia="zh-CN"/>
        </w:rPr>
        <w:t xml:space="preserve">，</w:t>
      </w:r>
      <w:r>
        <w:rPr>
          <w:rFonts w:hint="eastAsia" w:ascii="宋体" w:hAnsi="宋体" w:eastAsia="宋体" w:cs="宋体"/>
          <w:b/>
          <w:bCs/>
          <w:i/>
          <w:iCs/>
          <w:sz w:val="24"/>
          <w:szCs w:val="20"/>
          <w:u w:val="single"/>
        </w:rPr>
        <w:t xml:space="preserve">并加盖投标人公章）。</w:t>
      </w:r>
      <w:r/>
    </w:p>
    <w:p>
      <w:pPr>
        <w:ind w:firstLine="482"/>
        <w:spacing w:line="560" w:lineRule="exact"/>
        <w:widowControl/>
        <w:rPr>
          <w:rFonts w:ascii="宋体" w:hAnsi="宋体" w:eastAsia="Arial" w:cs="宋体"/>
          <w:b/>
          <w:bCs/>
          <w:i/>
          <w:iCs/>
          <w:sz w:val="24"/>
          <w:szCs w:val="20"/>
          <w:u w:val="single"/>
        </w:rPr>
      </w:pPr>
      <w:r>
        <w:rPr>
          <w:rFonts w:hint="eastAsia" w:ascii="宋体" w:hAnsi="宋体" w:eastAsia="宋体" w:cs="宋体"/>
          <w:b/>
          <w:bCs/>
          <w:i/>
          <w:iCs/>
          <w:sz w:val="24"/>
          <w:szCs w:val="20"/>
          <w:u w:val="single"/>
        </w:rPr>
        <w:t xml:space="preserve">注：本项目招标文件中标注★为实质性要求，不允许负偏离，否则为无效投标。</w:t>
      </w:r>
      <w:r/>
    </w:p>
    <w:p>
      <w:pPr>
        <w:ind w:firstLine="482"/>
        <w:spacing w:line="560" w:lineRule="exact"/>
        <w:widowControl/>
        <w:rPr>
          <w:rFonts w:ascii="宋体" w:hAnsi="宋体" w:eastAsia="Arial" w:cs="宋体"/>
          <w:b/>
          <w:bCs/>
          <w:sz w:val="24"/>
          <w:szCs w:val="20"/>
        </w:rPr>
        <w:outlineLvl w:val="3"/>
      </w:pPr>
      <w:r>
        <w:rPr>
          <w:rFonts w:hint="eastAsia" w:ascii="宋体" w:hAnsi="宋体" w:eastAsia="宋体" w:cs="宋体"/>
          <w:b/>
          <w:bCs/>
          <w:sz w:val="24"/>
          <w:szCs w:val="20"/>
        </w:rPr>
        <w:t xml:space="preserve">（三）系统性能要求</w:t>
      </w:r>
      <w:r/>
    </w:p>
    <w:p>
      <w:pPr>
        <w:ind w:firstLine="482"/>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充分考虑业务的特殊性和复杂性，确保系统的总体性能满足用户要求，不发生长时间中断、阻塞、死锁等情况。</w:t>
      </w:r>
      <w:r/>
    </w:p>
    <w:p>
      <w:pPr>
        <w:ind w:firstLine="482"/>
        <w:spacing w:line="560" w:lineRule="exact"/>
        <w:widowControl/>
        <w:rPr>
          <w:rFonts w:hint="eastAsia" w:ascii="宋体" w:hAnsi="宋体" w:eastAsia="宋体" w:cs="宋体"/>
          <w:b/>
          <w:bCs/>
          <w:sz w:val="24"/>
          <w:szCs w:val="20"/>
        </w:rPr>
        <w:outlineLvl w:val="3"/>
      </w:pPr>
      <w:r>
        <w:rPr>
          <w:rFonts w:hint="eastAsia" w:ascii="宋体" w:hAnsi="宋体" w:eastAsia="宋体" w:cs="宋体"/>
          <w:b/>
          <w:bCs/>
          <w:sz w:val="24"/>
          <w:szCs w:val="20"/>
        </w:rPr>
        <w:t xml:space="preserve">（四）系统安全要求</w:t>
      </w:r>
      <w:r/>
    </w:p>
    <w:p>
      <w:pPr>
        <w:ind w:firstLine="482"/>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项目需严格按照网络安全法、数据安全法和个人信息保护法等相关法律实施，保证网络和信息安全的有效性。针对本项目信息安全现状和个性需求，需进行安全体系总体设计，主要涵盖物理安全、网络安全、数据安全、系统安全、应用安全、管理安全等各方面内容。</w:t>
      </w:r>
      <w:r/>
    </w:p>
    <w:p>
      <w:pPr>
        <w:ind w:firstLine="482"/>
        <w:spacing w:line="560" w:lineRule="exact"/>
        <w:widowControl/>
        <w:rPr>
          <w:rFonts w:ascii="宋体" w:hAnsi="宋体" w:eastAsia="Arial" w:cs="宋体"/>
          <w:sz w:val="24"/>
          <w:szCs w:val="20"/>
        </w:rPr>
      </w:pPr>
      <w:r>
        <w:rPr>
          <w:rFonts w:hint="eastAsia" w:ascii="宋体" w:hAnsi="宋体" w:eastAsia="Arial" w:cs="宋体"/>
          <w:sz w:val="24"/>
          <w:szCs w:val="20"/>
        </w:rPr>
        <w:t xml:space="preserve">1.</w:t>
      </w:r>
      <w:r>
        <w:rPr>
          <w:rFonts w:hint="eastAsia" w:ascii="宋体" w:hAnsi="宋体" w:eastAsia="宋体" w:cs="宋体"/>
          <w:sz w:val="24"/>
          <w:szCs w:val="20"/>
        </w:rPr>
        <w:t xml:space="preserve">网络安全等级保护测评要求</w:t>
      </w:r>
      <w:r/>
    </w:p>
    <w:p>
      <w:pPr>
        <w:ind w:firstLine="482"/>
        <w:spacing w:line="560" w:lineRule="exact"/>
        <w:widowControl/>
        <w:rPr>
          <w:rFonts w:ascii="宋体" w:hAnsi="宋体" w:eastAsia="Arial" w:cs="宋体"/>
          <w:b/>
          <w:bCs/>
          <w:i/>
          <w:iCs/>
          <w:sz w:val="24"/>
          <w:szCs w:val="20"/>
          <w:u w:val="single"/>
        </w:rPr>
      </w:pPr>
      <w:r>
        <w:rPr>
          <w:rFonts w:ascii="Segoe UI Symbol" w:hAnsi="Segoe UI Symbol" w:eastAsia="Arial" w:cs="Segoe UI Symbol"/>
          <w:b/>
          <w:bCs/>
          <w:i/>
          <w:iCs/>
          <w:sz w:val="24"/>
          <w:szCs w:val="20"/>
          <w:u w:val="single"/>
        </w:rPr>
        <w:t xml:space="preserve">★</w:t>
      </w:r>
      <w:r>
        <w:rPr>
          <w:rFonts w:hint="eastAsia" w:ascii="宋体" w:hAnsi="宋体" w:eastAsia="宋体" w:cs="宋体"/>
          <w:b/>
          <w:bCs/>
          <w:i/>
          <w:iCs/>
          <w:sz w:val="24"/>
          <w:szCs w:val="20"/>
          <w:u w:val="single"/>
        </w:rPr>
        <w:t xml:space="preserve">投标人须按照网络安全等级保护三级的防护要求进行项目实施交付，根据第三方测评结果进行整改，直至通过（投标人须出具承诺函，</w:t>
      </w:r>
      <w:r>
        <w:rPr>
          <w:rFonts w:hint="eastAsia" w:ascii="宋体" w:hAnsi="宋体" w:eastAsia="宋体" w:cs="宋体"/>
          <w:b/>
          <w:bCs/>
          <w:i/>
          <w:iCs/>
          <w:sz w:val="24"/>
          <w:szCs w:val="20"/>
          <w:u w:val="single"/>
          <w:lang w:val="en-US" w:eastAsia="zh-CN"/>
        </w:rPr>
        <w:t xml:space="preserve">承诺函自制</w:t>
      </w:r>
      <w:r>
        <w:rPr>
          <w:rFonts w:hint="eastAsia" w:ascii="宋体" w:hAnsi="宋体" w:eastAsia="宋体" w:cs="宋体"/>
          <w:b/>
          <w:bCs/>
          <w:i/>
          <w:iCs/>
          <w:sz w:val="24"/>
          <w:szCs w:val="20"/>
          <w:u w:val="single"/>
          <w:lang w:eastAsia="zh-CN"/>
        </w:rPr>
        <w:t xml:space="preserve">，</w:t>
      </w:r>
      <w:r>
        <w:rPr>
          <w:rFonts w:hint="eastAsia" w:ascii="宋体" w:hAnsi="宋体" w:eastAsia="宋体" w:cs="宋体"/>
          <w:b/>
          <w:bCs/>
          <w:i/>
          <w:iCs/>
          <w:sz w:val="24"/>
          <w:szCs w:val="20"/>
          <w:u w:val="single"/>
        </w:rPr>
        <w:t xml:space="preserve">并加盖投标人公章）。</w:t>
      </w:r>
      <w:r/>
    </w:p>
    <w:p>
      <w:pPr>
        <w:ind w:firstLine="482"/>
        <w:spacing w:line="560" w:lineRule="exact"/>
        <w:widowControl/>
        <w:rPr>
          <w:rFonts w:ascii="宋体" w:hAnsi="宋体" w:eastAsia="Arial" w:cs="宋体"/>
          <w:sz w:val="24"/>
          <w:szCs w:val="20"/>
        </w:rPr>
      </w:pPr>
      <w:r>
        <w:rPr>
          <w:rFonts w:hint="eastAsia" w:ascii="宋体" w:hAnsi="宋体" w:eastAsia="Arial" w:cs="宋体"/>
          <w:sz w:val="24"/>
          <w:szCs w:val="20"/>
        </w:rPr>
        <w:t xml:space="preserve">2.</w:t>
      </w:r>
      <w:r>
        <w:rPr>
          <w:rFonts w:hint="eastAsia" w:ascii="宋体" w:hAnsi="宋体" w:eastAsia="宋体" w:cs="宋体"/>
          <w:sz w:val="24"/>
          <w:szCs w:val="20"/>
        </w:rPr>
        <w:t xml:space="preserve">第三方软件测试要求</w:t>
      </w:r>
      <w:r/>
    </w:p>
    <w:p>
      <w:pPr>
        <w:ind w:firstLine="482"/>
        <w:spacing w:line="560" w:lineRule="exact"/>
        <w:widowControl/>
        <w:rPr>
          <w:rFonts w:ascii="宋体" w:hAnsi="宋体" w:eastAsia="Arial" w:cs="宋体"/>
          <w:b/>
          <w:bCs/>
          <w:i/>
          <w:iCs/>
          <w:sz w:val="24"/>
          <w:szCs w:val="20"/>
          <w:u w:val="single"/>
        </w:rPr>
      </w:pPr>
      <w:r>
        <w:rPr>
          <w:rFonts w:ascii="Segoe UI Symbol" w:hAnsi="Segoe UI Symbol" w:eastAsia="Arial" w:cs="Segoe UI Symbol"/>
          <w:b/>
          <w:bCs/>
          <w:i/>
          <w:iCs/>
          <w:sz w:val="24"/>
          <w:szCs w:val="20"/>
          <w:u w:val="single"/>
        </w:rPr>
        <w:t xml:space="preserve">★</w:t>
      </w:r>
      <w:r>
        <w:rPr>
          <w:rFonts w:hint="eastAsia" w:ascii="宋体" w:hAnsi="宋体" w:eastAsia="宋体" w:cs="宋体"/>
          <w:b/>
          <w:bCs/>
          <w:i/>
          <w:iCs/>
          <w:sz w:val="24"/>
          <w:szCs w:val="20"/>
          <w:u w:val="single"/>
        </w:rPr>
        <w:t xml:space="preserve">投标人须以相关行业及国家测试标准及规范进行项目实施交付，根据第三方测试结果进行整改，直至通过（投标人须出具承诺函，</w:t>
      </w:r>
      <w:r>
        <w:rPr>
          <w:rFonts w:hint="eastAsia" w:ascii="宋体" w:hAnsi="宋体" w:eastAsia="宋体" w:cs="宋体"/>
          <w:b/>
          <w:bCs/>
          <w:i/>
          <w:iCs/>
          <w:sz w:val="24"/>
          <w:szCs w:val="20"/>
          <w:u w:val="single"/>
          <w:lang w:val="en-US" w:eastAsia="zh-CN"/>
        </w:rPr>
        <w:t xml:space="preserve">承诺函自制</w:t>
      </w:r>
      <w:r>
        <w:rPr>
          <w:rFonts w:hint="eastAsia" w:ascii="宋体" w:hAnsi="宋体" w:eastAsia="宋体" w:cs="宋体"/>
          <w:b/>
          <w:bCs/>
          <w:i/>
          <w:iCs/>
          <w:sz w:val="24"/>
          <w:szCs w:val="20"/>
          <w:u w:val="single"/>
          <w:lang w:eastAsia="zh-CN"/>
        </w:rPr>
        <w:t xml:space="preserve">，</w:t>
      </w:r>
      <w:r>
        <w:rPr>
          <w:rFonts w:hint="eastAsia" w:ascii="宋体" w:hAnsi="宋体" w:eastAsia="宋体" w:cs="宋体"/>
          <w:b/>
          <w:bCs/>
          <w:i/>
          <w:iCs/>
          <w:sz w:val="24"/>
          <w:szCs w:val="20"/>
          <w:u w:val="single"/>
        </w:rPr>
        <w:t xml:space="preserve">并加盖投标人公章）。</w:t>
      </w:r>
      <w:r/>
    </w:p>
    <w:p>
      <w:pPr>
        <w:ind w:firstLine="482"/>
        <w:spacing w:line="560" w:lineRule="exact"/>
        <w:widowControl/>
        <w:rPr>
          <w:rFonts w:ascii="宋体" w:hAnsi="宋体" w:eastAsia="Arial" w:cs="宋体"/>
          <w:sz w:val="24"/>
          <w:szCs w:val="20"/>
        </w:rPr>
      </w:pPr>
      <w:r>
        <w:rPr>
          <w:rFonts w:hint="eastAsia" w:ascii="宋体" w:hAnsi="宋体" w:eastAsia="Arial" w:cs="宋体"/>
          <w:sz w:val="24"/>
          <w:szCs w:val="20"/>
        </w:rPr>
        <w:t xml:space="preserve">3.</w:t>
      </w:r>
      <w:r>
        <w:rPr>
          <w:rFonts w:hint="eastAsia" w:ascii="宋体" w:hAnsi="宋体" w:eastAsia="宋体" w:cs="宋体"/>
          <w:sz w:val="24"/>
          <w:szCs w:val="20"/>
        </w:rPr>
        <w:t xml:space="preserve">商用密码应用安全性评估要求</w:t>
      </w:r>
      <w:r/>
    </w:p>
    <w:p>
      <w:pPr>
        <w:ind w:firstLine="482"/>
        <w:spacing w:line="560" w:lineRule="exact"/>
        <w:widowControl/>
        <w:rPr>
          <w:rFonts w:hint="eastAsia" w:ascii="宋体" w:hAnsi="宋体" w:eastAsia="宋体" w:cs="宋体"/>
          <w:b/>
          <w:bCs/>
          <w:i/>
          <w:iCs/>
          <w:sz w:val="24"/>
          <w:szCs w:val="20"/>
          <w:u w:val="single"/>
        </w:rPr>
      </w:pPr>
      <w:r>
        <w:rPr>
          <w:rFonts w:ascii="Segoe UI Symbol" w:hAnsi="Segoe UI Symbol" w:eastAsia="Arial" w:cs="Segoe UI Symbol"/>
          <w:b/>
          <w:bCs/>
          <w:i/>
          <w:iCs/>
          <w:sz w:val="24"/>
          <w:szCs w:val="20"/>
          <w:u w:val="single"/>
        </w:rPr>
        <w:t xml:space="preserve">★</w:t>
      </w:r>
      <w:r>
        <w:rPr>
          <w:rFonts w:hint="eastAsia" w:ascii="宋体" w:hAnsi="宋体" w:eastAsia="宋体" w:cs="宋体"/>
          <w:b/>
          <w:bCs/>
          <w:i/>
          <w:iCs/>
          <w:sz w:val="24"/>
          <w:szCs w:val="20"/>
          <w:u w:val="single"/>
        </w:rPr>
        <w:t xml:space="preserve">投标人须按照《信息安全技术信息系统密码应用基本要求》（</w:t>
      </w:r>
      <w:r>
        <w:rPr>
          <w:rFonts w:hint="eastAsia" w:ascii="宋体" w:hAnsi="宋体" w:eastAsia="Arial" w:cs="宋体"/>
          <w:b/>
          <w:bCs/>
          <w:i/>
          <w:iCs/>
          <w:sz w:val="24"/>
          <w:szCs w:val="20"/>
          <w:u w:val="single"/>
        </w:rPr>
        <w:t xml:space="preserve">GB/T39786-2021</w:t>
      </w:r>
      <w:r>
        <w:rPr>
          <w:rFonts w:hint="eastAsia" w:ascii="宋体" w:hAnsi="宋体" w:eastAsia="宋体" w:cs="宋体"/>
          <w:b/>
          <w:bCs/>
          <w:i/>
          <w:iCs/>
          <w:sz w:val="24"/>
          <w:szCs w:val="20"/>
          <w:u w:val="single"/>
        </w:rPr>
        <w:t xml:space="preserve">）等标准中第三级的相关要求进行项目实施交付，根据第三方评估结果进行整改，直至通过（投标人须出具承诺函，</w:t>
      </w:r>
      <w:r>
        <w:rPr>
          <w:rFonts w:hint="eastAsia" w:ascii="宋体" w:hAnsi="宋体" w:eastAsia="宋体" w:cs="宋体"/>
          <w:b/>
          <w:bCs/>
          <w:i/>
          <w:iCs/>
          <w:sz w:val="24"/>
          <w:szCs w:val="20"/>
          <w:u w:val="single"/>
          <w:lang w:val="en-US" w:eastAsia="zh-CN"/>
        </w:rPr>
        <w:t xml:space="preserve">承诺函自制</w:t>
      </w:r>
      <w:r>
        <w:rPr>
          <w:rFonts w:hint="eastAsia" w:ascii="宋体" w:hAnsi="宋体" w:eastAsia="宋体" w:cs="宋体"/>
          <w:b/>
          <w:bCs/>
          <w:i/>
          <w:iCs/>
          <w:sz w:val="24"/>
          <w:szCs w:val="20"/>
          <w:u w:val="single"/>
          <w:lang w:eastAsia="zh-CN"/>
        </w:rPr>
        <w:t xml:space="preserve">，</w:t>
      </w:r>
      <w:r>
        <w:rPr>
          <w:rFonts w:hint="eastAsia" w:ascii="宋体" w:hAnsi="宋体" w:eastAsia="宋体" w:cs="宋体"/>
          <w:b/>
          <w:bCs/>
          <w:i/>
          <w:iCs/>
          <w:sz w:val="24"/>
          <w:szCs w:val="20"/>
          <w:u w:val="single"/>
        </w:rPr>
        <w:t xml:space="preserve">并加盖投标人公章）。</w:t>
      </w:r>
      <w:r/>
    </w:p>
    <w:p>
      <w:pPr>
        <w:ind w:firstLine="482"/>
        <w:spacing w:line="560" w:lineRule="exact"/>
        <w:widowControl/>
        <w:rPr>
          <w:rFonts w:hint="eastAsia" w:ascii="宋体" w:hAnsi="宋体" w:eastAsia="宋体" w:cs="宋体"/>
          <w:sz w:val="24"/>
          <w:szCs w:val="20"/>
          <w:lang w:bidi="ar"/>
        </w:rPr>
      </w:pPr>
      <w:r>
        <w:rPr>
          <w:rFonts w:hint="eastAsia" w:ascii="宋体" w:hAnsi="宋体" w:eastAsia="宋体" w:cs="宋体"/>
          <w:b/>
          <w:bCs/>
          <w:i/>
          <w:iCs/>
          <w:sz w:val="24"/>
          <w:szCs w:val="20"/>
          <w:u w:val="single"/>
        </w:rPr>
        <w:t xml:space="preserve">注：本项目招标文件中标注★为实质性要求，不允许负偏离，否则为无效投标。</w:t>
      </w:r>
      <w:r/>
    </w:p>
    <w:p>
      <w:pPr>
        <w:ind w:firstLine="482"/>
        <w:spacing w:line="400" w:lineRule="exact"/>
        <w:widowControl/>
        <w:rPr>
          <w:rFonts w:ascii="Times New Roman" w:hAnsi="Times New Roman" w:eastAsia="宋体"/>
          <w:b/>
          <w:bCs/>
          <w:sz w:val="24"/>
          <w:szCs w:val="20"/>
        </w:rPr>
        <w:outlineLvl w:val="3"/>
      </w:pPr>
      <w:r>
        <w:rPr>
          <w:rFonts w:hint="eastAsia" w:ascii="Times New Roman" w:hAnsi="Times New Roman" w:eastAsia="宋体"/>
          <w:b/>
          <w:bCs/>
          <w:sz w:val="24"/>
          <w:szCs w:val="20"/>
          <w:lang w:bidi="ar"/>
        </w:rPr>
        <w:t xml:space="preserve">（五）其他要求</w:t>
      </w:r>
      <w:r/>
    </w:p>
    <w:p>
      <w:pPr>
        <w:ind w:firstLine="482"/>
        <w:spacing w:line="56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lang w:bidi="ar"/>
        </w:rPr>
        <w:t xml:space="preserve">1.项目工期要求</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合同签订生效后，9个月内完成项目建设内容并上线试运行，试运行6个月后组织项目终验；项目终验后转入运维期，运维期2年。</w:t>
      </w:r>
      <w:r/>
    </w:p>
    <w:p>
      <w:pPr>
        <w:ind w:firstLine="482"/>
        <w:spacing w:line="56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lang w:bidi="ar"/>
        </w:rPr>
        <w:t xml:space="preserve">2.项目安全要求</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eastAsia="zh-CN" w:bidi="ar"/>
        </w:rPr>
        <w:t xml:space="preserve">投标人</w:t>
      </w:r>
      <w:r>
        <w:rPr>
          <w:rFonts w:hint="eastAsia" w:ascii="宋体" w:hAnsi="宋体" w:eastAsia="宋体" w:cs="宋体"/>
          <w:sz w:val="24"/>
          <w:szCs w:val="20"/>
          <w:lang w:bidi="ar"/>
        </w:rPr>
        <w:t xml:space="preserve">在项目实施过程中，项目实施负责人必须参加由采购人召开的项目推进会，每月向</w:t>
      </w:r>
      <w:r>
        <w:rPr>
          <w:rFonts w:hint="eastAsia" w:ascii="宋体" w:hAnsi="宋体" w:eastAsia="宋体" w:cs="宋体"/>
          <w:sz w:val="24"/>
          <w:szCs w:val="20"/>
          <w:lang w:eastAsia="zh-CN" w:bidi="ar"/>
        </w:rPr>
        <w:t xml:space="preserve">采购人</w:t>
      </w:r>
      <w:r>
        <w:rPr>
          <w:rFonts w:hint="eastAsia" w:ascii="宋体" w:hAnsi="宋体" w:eastAsia="宋体" w:cs="宋体"/>
          <w:sz w:val="24"/>
          <w:szCs w:val="20"/>
          <w:lang w:bidi="ar"/>
        </w:rPr>
        <w:t xml:space="preserve">汇报工作进度、问题及下阶段工作计划，确保按时完成项目工作。项目实施期间，建设方变更项目经理必须经</w:t>
      </w:r>
      <w:r>
        <w:rPr>
          <w:rFonts w:hint="eastAsia" w:ascii="宋体" w:hAnsi="宋体" w:eastAsia="宋体" w:cs="宋体"/>
          <w:sz w:val="24"/>
          <w:szCs w:val="20"/>
          <w:lang w:eastAsia="zh-CN" w:bidi="ar"/>
        </w:rPr>
        <w:t xml:space="preserve">采购人</w:t>
      </w:r>
      <w:r>
        <w:rPr>
          <w:rFonts w:hint="eastAsia" w:ascii="宋体" w:hAnsi="宋体" w:eastAsia="宋体" w:cs="宋体"/>
          <w:sz w:val="24"/>
          <w:szCs w:val="20"/>
          <w:lang w:bidi="ar"/>
        </w:rPr>
        <w:t xml:space="preserve">同意。建设期内，项目安全运营团队成员不少于10人，并且配备</w:t>
      </w:r>
      <w:r>
        <w:rPr>
          <w:rFonts w:hint="eastAsia" w:ascii="宋体" w:hAnsi="宋体" w:eastAsia="宋体" w:cs="宋体"/>
          <w:sz w:val="24"/>
          <w:szCs w:val="20"/>
          <w:lang w:val="en-US" w:eastAsia="zh-CN" w:bidi="ar"/>
        </w:rPr>
        <w:t xml:space="preserve">驻场</w:t>
      </w:r>
      <w:r>
        <w:rPr>
          <w:rFonts w:hint="eastAsia" w:ascii="宋体" w:hAnsi="宋体" w:eastAsia="宋体" w:cs="宋体"/>
          <w:sz w:val="24"/>
          <w:szCs w:val="20"/>
          <w:lang w:bidi="ar"/>
        </w:rPr>
        <w:t xml:space="preserve">数据安全人员不少于4人，人员必须具备与本项目规模相适应的技能、项目经验和沟通能力。运维期内，配备驻场数据安全人员2人，驻场人员必须具备与本项目规模相适应的技能、项目经验和沟通能力，项目结束前人员不得更换或者中途退出，如有特殊原因需要更换，必须得到</w:t>
      </w:r>
      <w:r>
        <w:rPr>
          <w:rFonts w:hint="eastAsia" w:ascii="宋体" w:hAnsi="宋体" w:eastAsia="宋体" w:cs="宋体"/>
          <w:sz w:val="24"/>
          <w:szCs w:val="20"/>
          <w:lang w:eastAsia="zh-CN" w:bidi="ar"/>
        </w:rPr>
        <w:t xml:space="preserve">采购人</w:t>
      </w:r>
      <w:r>
        <w:rPr>
          <w:rFonts w:hint="eastAsia" w:ascii="宋体" w:hAnsi="宋体" w:eastAsia="宋体" w:cs="宋体"/>
          <w:sz w:val="24"/>
          <w:szCs w:val="20"/>
          <w:lang w:bidi="ar"/>
        </w:rPr>
        <w:t xml:space="preserve">同意。</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在系统建设、运维期间以及项目结束后，</w:t>
      </w:r>
      <w:r>
        <w:rPr>
          <w:rFonts w:hint="eastAsia" w:ascii="宋体" w:hAnsi="宋体" w:eastAsia="宋体" w:cs="宋体"/>
          <w:sz w:val="24"/>
          <w:szCs w:val="20"/>
          <w:lang w:eastAsia="zh-CN" w:bidi="ar"/>
        </w:rPr>
        <w:t xml:space="preserve">投标人</w:t>
      </w:r>
      <w:r>
        <w:rPr>
          <w:rFonts w:hint="eastAsia" w:ascii="宋体" w:hAnsi="宋体" w:eastAsia="宋体" w:cs="宋体"/>
          <w:sz w:val="24"/>
          <w:szCs w:val="20"/>
          <w:lang w:bidi="ar"/>
        </w:rPr>
        <w:t xml:space="preserve">必须严守保密规定，未经同意，不得将采购人信息数据向任何无关单位和个人提供和泄露，必须有严格的数据保密措施，如因操作不当导致数据泄密应追究相应法律责任。</w:t>
      </w:r>
      <w:r/>
    </w:p>
    <w:p>
      <w:pPr>
        <w:ind w:firstLine="482"/>
        <w:spacing w:line="56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lang w:bidi="ar"/>
        </w:rPr>
        <w:t xml:space="preserve">3.项目进度安排</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eastAsia="zh-CN" w:bidi="ar"/>
        </w:rPr>
        <w:t xml:space="preserve">投标人</w:t>
      </w:r>
      <w:r>
        <w:rPr>
          <w:rFonts w:hint="eastAsia" w:ascii="宋体" w:hAnsi="宋体" w:eastAsia="宋体" w:cs="宋体"/>
          <w:sz w:val="24"/>
          <w:szCs w:val="20"/>
          <w:lang w:bidi="ar"/>
        </w:rPr>
        <w:t xml:space="preserve">详细描述项目各项工作的进展计划，并明确完成各项工作预计所需时间及达到的阶段目标。</w:t>
      </w:r>
      <w:r/>
    </w:p>
    <w:p>
      <w:pPr>
        <w:ind w:firstLine="482"/>
        <w:spacing w:line="56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lang w:bidi="ar"/>
        </w:rPr>
        <w:t xml:space="preserve">4.国产软件兼容性要求</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本项目所建平台全部在盐城市政务云国产化环境下运行，</w:t>
      </w:r>
      <w:r>
        <w:rPr>
          <w:rFonts w:hint="eastAsia" w:ascii="宋体" w:hAnsi="宋体" w:eastAsia="宋体" w:cs="宋体"/>
          <w:sz w:val="24"/>
          <w:szCs w:val="20"/>
          <w:lang w:eastAsia="zh-CN" w:bidi="ar"/>
        </w:rPr>
        <w:t xml:space="preserve">投标人</w:t>
      </w:r>
      <w:r>
        <w:rPr>
          <w:rFonts w:hint="eastAsia" w:ascii="宋体" w:hAnsi="宋体" w:eastAsia="宋体" w:cs="宋体"/>
          <w:sz w:val="24"/>
          <w:szCs w:val="20"/>
          <w:lang w:bidi="ar"/>
        </w:rPr>
        <w:t xml:space="preserve">需要提供自身产品与国产化处理器、操作系统、中间件、数据库等的兼容性互认证书，证明有适配国产化的能力。</w:t>
      </w:r>
      <w:r/>
    </w:p>
    <w:p>
      <w:pPr>
        <w:ind w:firstLine="482"/>
        <w:spacing w:line="56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lang w:bidi="ar"/>
        </w:rPr>
        <w:t xml:space="preserve">5.系统测试</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eastAsia="zh-CN" w:bidi="ar"/>
        </w:rPr>
        <w:t xml:space="preserve">投标人</w:t>
      </w:r>
      <w:r>
        <w:rPr>
          <w:rFonts w:hint="eastAsia" w:ascii="宋体" w:hAnsi="宋体" w:eastAsia="宋体" w:cs="宋体"/>
          <w:sz w:val="24"/>
          <w:szCs w:val="20"/>
          <w:lang w:bidi="ar"/>
        </w:rPr>
        <w:t xml:space="preserve">进行如下必要的安全测试并提供整体测试方案：</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（1）测试安全需求的满足程度、各项系统功能等；</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（2）测试手段包括代码静态测试、前端页面测试等；</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（3）对测试数据进行保护，在使用生产数据作为测试数据时，使用前进行必要的脱敏处理。</w:t>
      </w:r>
      <w:r/>
    </w:p>
    <w:p>
      <w:pPr>
        <w:ind w:firstLine="482"/>
        <w:spacing w:line="56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lang w:bidi="ar"/>
        </w:rPr>
        <w:t xml:space="preserve">6.项目验收</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系统试运行结束后，中标</w:t>
      </w:r>
      <w:r>
        <w:rPr>
          <w:rFonts w:hint="eastAsia" w:ascii="宋体" w:hAnsi="宋体" w:eastAsia="宋体" w:cs="宋体"/>
          <w:sz w:val="24"/>
          <w:szCs w:val="20"/>
          <w:lang w:eastAsia="zh-CN" w:bidi="ar"/>
        </w:rPr>
        <w:t xml:space="preserve">投标人</w:t>
      </w:r>
      <w:r>
        <w:rPr>
          <w:rFonts w:hint="eastAsia" w:ascii="宋体" w:hAnsi="宋体" w:eastAsia="宋体" w:cs="宋体"/>
          <w:sz w:val="24"/>
          <w:szCs w:val="20"/>
          <w:lang w:bidi="ar"/>
        </w:rPr>
        <w:t xml:space="preserve">须配合采购人进行项目正式验收。正式验收时项目必须达到招投标文件、合同书完成的要求，同时配合甲方完成并通过等级保护测评工作。</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正式验收的前提条件是：</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（1）系统稳定运行，从用户反馈和系统稳定性方面来看，整个系统的运行已经进入正轨；</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（2）所有技术要求和功能模块按照要求全部实现，并满足使用要求；</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（3）各种技术文档和验收资料完备，符合合同内容要求。</w:t>
      </w:r>
      <w:r/>
    </w:p>
    <w:p>
      <w:pPr>
        <w:ind w:firstLine="482"/>
        <w:spacing w:line="56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lang w:bidi="ar"/>
        </w:rPr>
        <w:t xml:space="preserve">7.培训要求</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（1）</w:t>
      </w:r>
      <w:r>
        <w:rPr>
          <w:rFonts w:hint="eastAsia" w:ascii="宋体" w:hAnsi="宋体" w:eastAsia="宋体" w:cs="宋体"/>
          <w:sz w:val="24"/>
          <w:szCs w:val="20"/>
          <w:lang w:eastAsia="zh-CN" w:bidi="ar"/>
        </w:rPr>
        <w:t xml:space="preserve">投标人</w:t>
      </w:r>
      <w:r>
        <w:rPr>
          <w:rFonts w:hint="eastAsia" w:ascii="宋体" w:hAnsi="宋体" w:eastAsia="宋体" w:cs="宋体"/>
          <w:sz w:val="24"/>
          <w:szCs w:val="20"/>
          <w:lang w:bidi="ar"/>
        </w:rPr>
        <w:t xml:space="preserve">应负责对用户进行全面的技术培训，达到能独立进行日常维护管理和简易故障处理等工作，以便用户所使用的软件产品能够正常、安全地运行。</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（2）</w:t>
      </w:r>
      <w:r>
        <w:rPr>
          <w:rFonts w:hint="eastAsia" w:ascii="宋体" w:hAnsi="宋体" w:eastAsia="宋体" w:cs="宋体"/>
          <w:sz w:val="24"/>
          <w:szCs w:val="20"/>
          <w:lang w:eastAsia="zh-CN" w:bidi="ar"/>
        </w:rPr>
        <w:t xml:space="preserve">投标人</w:t>
      </w:r>
      <w:r>
        <w:rPr>
          <w:rFonts w:hint="eastAsia" w:ascii="宋体" w:hAnsi="宋体" w:eastAsia="宋体" w:cs="宋体"/>
          <w:sz w:val="24"/>
          <w:szCs w:val="20"/>
          <w:lang w:bidi="ar"/>
        </w:rPr>
        <w:t xml:space="preserve">的培训对象为系统管理员和系统使用人员，</w:t>
      </w:r>
      <w:r>
        <w:rPr>
          <w:rFonts w:hint="eastAsia" w:ascii="宋体" w:hAnsi="宋体" w:eastAsia="宋体" w:cs="宋体"/>
          <w:sz w:val="24"/>
          <w:szCs w:val="20"/>
          <w:lang w:eastAsia="zh-CN" w:bidi="ar"/>
        </w:rPr>
        <w:t xml:space="preserve">投标人</w:t>
      </w:r>
      <w:r>
        <w:rPr>
          <w:rFonts w:hint="eastAsia" w:ascii="宋体" w:hAnsi="宋体" w:eastAsia="宋体" w:cs="宋体"/>
          <w:sz w:val="24"/>
          <w:szCs w:val="20"/>
          <w:lang w:bidi="ar"/>
        </w:rPr>
        <w:t xml:space="preserve">需提供培训计划及相关文档清单。</w:t>
      </w:r>
      <w:r/>
    </w:p>
    <w:p>
      <w:pPr>
        <w:ind w:firstLine="482"/>
        <w:spacing w:line="56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lang w:bidi="ar"/>
        </w:rPr>
        <w:t xml:space="preserve">8.售后服务要求</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自项目终验通过之日起算，系统免费质保3年。</w:t>
      </w:r>
      <w:r/>
    </w:p>
    <w:p>
      <w:pPr>
        <w:ind w:firstLine="482"/>
        <w:spacing w:line="560" w:lineRule="exact"/>
        <w:widowControl/>
        <w:rPr>
          <w:rFonts w:hint="eastAsia" w:ascii="宋体" w:hAnsi="宋体" w:eastAsia="宋体" w:cs="宋体"/>
          <w:b/>
          <w:bCs/>
          <w:sz w:val="24"/>
          <w:szCs w:val="20"/>
        </w:rPr>
        <w:outlineLvl w:val="2"/>
      </w:pPr>
      <w:r>
        <w:rPr>
          <w:rFonts w:hint="eastAsia" w:ascii="宋体" w:hAnsi="宋体" w:eastAsia="宋体" w:cs="宋体"/>
          <w:b/>
          <w:bCs/>
          <w:sz w:val="24"/>
          <w:szCs w:val="20"/>
          <w:lang w:bidi="ar"/>
        </w:rPr>
        <w:t xml:space="preserve">二、商务要求</w:t>
      </w:r>
      <w:r/>
    </w:p>
    <w:p>
      <w:pPr>
        <w:ind w:firstLine="482"/>
        <w:spacing w:line="400" w:lineRule="exact"/>
        <w:widowControl/>
        <w:rPr>
          <w:rFonts w:ascii="Times New Roman" w:hAnsi="Times New Roman" w:eastAsia="宋体"/>
          <w:b/>
          <w:bCs/>
          <w:sz w:val="24"/>
          <w:szCs w:val="20"/>
        </w:rPr>
        <w:outlineLvl w:val="3"/>
      </w:pPr>
      <w:r>
        <w:rPr>
          <w:rFonts w:hint="eastAsia" w:ascii="Times New Roman" w:hAnsi="Times New Roman" w:eastAsia="宋体"/>
          <w:b/>
          <w:bCs/>
          <w:sz w:val="24"/>
          <w:szCs w:val="20"/>
          <w:lang w:bidi="ar"/>
        </w:rPr>
        <w:t xml:space="preserve">（一）交付时间</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项目建设期15个月，建设期结束后转入运维期，运维期24个月。</w:t>
      </w:r>
      <w:r/>
    </w:p>
    <w:p>
      <w:pPr>
        <w:ind w:firstLine="482"/>
        <w:spacing w:line="400" w:lineRule="exact"/>
        <w:widowControl/>
        <w:rPr>
          <w:rFonts w:ascii="Times New Roman" w:hAnsi="Times New Roman" w:eastAsia="宋体"/>
          <w:b/>
          <w:bCs/>
          <w:sz w:val="24"/>
          <w:szCs w:val="20"/>
          <w:lang w:bidi="ar"/>
        </w:rPr>
        <w:outlineLvl w:val="3"/>
      </w:pPr>
      <w:r>
        <w:rPr>
          <w:rFonts w:hint="eastAsia" w:ascii="Times New Roman" w:hAnsi="Times New Roman" w:eastAsia="宋体"/>
          <w:b/>
          <w:bCs/>
          <w:sz w:val="24"/>
          <w:szCs w:val="20"/>
          <w:lang w:bidi="ar"/>
        </w:rPr>
        <w:t xml:space="preserve">（二）交付地点</w:t>
      </w:r>
      <w:r/>
    </w:p>
    <w:p>
      <w:pPr>
        <w:ind w:firstLine="480"/>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根据采购人需求至指定服务地点开展工作。</w:t>
      </w:r>
      <w:r/>
    </w:p>
    <w:p>
      <w:pPr>
        <w:ind w:firstLine="482"/>
        <w:spacing w:line="400" w:lineRule="exact"/>
        <w:widowControl/>
        <w:rPr>
          <w:rFonts w:ascii="Times New Roman" w:hAnsi="Times New Roman" w:eastAsia="宋体"/>
          <w:b/>
          <w:bCs/>
          <w:sz w:val="24"/>
          <w:szCs w:val="20"/>
        </w:rPr>
        <w:outlineLvl w:val="3"/>
      </w:pPr>
      <w:r>
        <w:rPr>
          <w:rFonts w:hint="eastAsia" w:ascii="Times New Roman" w:hAnsi="Times New Roman" w:eastAsia="宋体"/>
          <w:b/>
          <w:bCs/>
          <w:sz w:val="24"/>
          <w:szCs w:val="20"/>
          <w:lang w:bidi="ar"/>
        </w:rPr>
        <w:t xml:space="preserve">（三）付款方式及说明</w:t>
      </w:r>
      <w:r>
        <w:rPr>
          <w:rFonts w:ascii="Times New Roman" w:hAnsi="Times New Roman" w:eastAsia="宋体"/>
          <w:b/>
          <w:bCs/>
          <w:sz w:val="24"/>
          <w:szCs w:val="20"/>
          <w:lang w:bidi="ar"/>
        </w:rPr>
        <w:t xml:space="preserve"> </w:t>
      </w:r>
      <w:r/>
    </w:p>
    <w:p>
      <w:pPr>
        <w:ind w:firstLine="482"/>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（1）项目合同签订后，甲方在收到乙方票据并确认无误后，10个工作日内支付合同总价的30%作为预付款；</w:t>
      </w:r>
      <w:r/>
    </w:p>
    <w:p>
      <w:pPr>
        <w:ind w:firstLine="482"/>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（2）项目初步验收后，甲方在收到乙方票据并确认无误后，10个工作日内，支付合同总价的20%；项目终验后，甲方在收到乙方票据并确认无误后，10个工作日内，支付合同总价的20%；</w:t>
      </w:r>
      <w:r/>
    </w:p>
    <w:p>
      <w:pPr>
        <w:ind w:firstLine="482"/>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（3）项目转入运维期，每年运维期结束，甲方在收到乙方票据并确认无误后，10个工作日内，支付合同总价的15%，持续2年。</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（申请每笔款项支付时，中标人同时向采购人提供相应金额的正式发票。因为</w:t>
      </w:r>
      <w:r>
        <w:rPr>
          <w:rFonts w:hint="eastAsia" w:ascii="宋体" w:hAnsi="宋体" w:eastAsia="宋体" w:cs="宋体"/>
          <w:sz w:val="24"/>
          <w:szCs w:val="20"/>
          <w:lang w:eastAsia="zh-CN" w:bidi="ar"/>
        </w:rPr>
        <w:t xml:space="preserve">投标人</w:t>
      </w:r>
      <w:r>
        <w:rPr>
          <w:rFonts w:hint="eastAsia" w:ascii="宋体" w:hAnsi="宋体" w:eastAsia="宋体" w:cs="宋体"/>
          <w:sz w:val="24"/>
          <w:szCs w:val="20"/>
          <w:lang w:bidi="ar"/>
        </w:rPr>
        <w:t xml:space="preserve">、财政等相关原因不能及时支付的，将延期付款，采购人不承担违约责任）</w:t>
      </w:r>
      <w:r/>
    </w:p>
    <w:p>
      <w:pPr>
        <w:ind w:firstLine="482"/>
        <w:spacing w:line="400" w:lineRule="exact"/>
        <w:widowControl/>
        <w:rPr>
          <w:rFonts w:ascii="Times New Roman" w:hAnsi="Times New Roman" w:eastAsia="宋体"/>
          <w:b/>
          <w:bCs/>
          <w:sz w:val="24"/>
          <w:szCs w:val="20"/>
          <w:lang w:bidi="ar"/>
        </w:rPr>
        <w:outlineLvl w:val="3"/>
      </w:pPr>
      <w:r>
        <w:rPr>
          <w:rFonts w:hint="eastAsia" w:ascii="Times New Roman" w:hAnsi="Times New Roman" w:eastAsia="宋体"/>
          <w:b/>
          <w:bCs/>
          <w:sz w:val="24"/>
          <w:szCs w:val="20"/>
          <w:lang w:bidi="ar"/>
        </w:rPr>
        <w:t xml:space="preserve">（四）其他要求</w:t>
      </w:r>
      <w:r/>
    </w:p>
    <w:p>
      <w:pPr>
        <w:ind w:firstLine="482"/>
        <w:spacing w:line="560" w:lineRule="exact"/>
        <w:widowControl/>
        <w:rPr>
          <w:rFonts w:ascii="宋体" w:hAnsi="宋体" w:eastAsia="Arial" w:cs="宋体"/>
          <w:b/>
          <w:bCs/>
          <w:i/>
          <w:iCs/>
          <w:sz w:val="24"/>
          <w:szCs w:val="20"/>
          <w:u w:val="single"/>
        </w:rPr>
      </w:pPr>
      <w:r>
        <w:rPr>
          <w:rFonts w:hint="eastAsia" w:ascii="宋体" w:hAnsi="宋体" w:eastAsia="宋体" w:cs="宋体"/>
          <w:b/>
          <w:bCs/>
          <w:i/>
          <w:iCs/>
          <w:sz w:val="24"/>
          <w:szCs w:val="20"/>
          <w:u w:val="single"/>
        </w:rPr>
        <w:t xml:space="preserve">★（</w:t>
      </w:r>
      <w:r>
        <w:rPr>
          <w:rFonts w:hint="eastAsia" w:ascii="宋体" w:hAnsi="宋体" w:eastAsia="Arial" w:cs="宋体"/>
          <w:b/>
          <w:bCs/>
          <w:i/>
          <w:iCs/>
          <w:sz w:val="24"/>
          <w:szCs w:val="20"/>
          <w:u w:val="single"/>
        </w:rPr>
        <w:t xml:space="preserve">1</w:t>
      </w:r>
      <w:r>
        <w:rPr>
          <w:rFonts w:hint="eastAsia" w:ascii="宋体" w:hAnsi="宋体" w:eastAsia="宋体" w:cs="宋体"/>
          <w:b/>
          <w:bCs/>
          <w:i/>
          <w:iCs/>
          <w:sz w:val="24"/>
          <w:szCs w:val="20"/>
          <w:u w:val="single"/>
        </w:rPr>
        <w:t xml:space="preserve">）所有招标要求条款</w:t>
      </w:r>
      <w:r>
        <w:rPr>
          <w:rFonts w:hint="eastAsia" w:ascii="宋体" w:hAnsi="宋体" w:eastAsia="宋体" w:cs="宋体"/>
          <w:b/>
          <w:bCs/>
          <w:i/>
          <w:iCs/>
          <w:sz w:val="24"/>
          <w:szCs w:val="20"/>
          <w:u w:val="single"/>
          <w:lang w:eastAsia="zh-CN"/>
        </w:rPr>
        <w:t xml:space="preserve">投标人</w:t>
      </w:r>
      <w:r>
        <w:rPr>
          <w:rFonts w:hint="eastAsia" w:ascii="宋体" w:hAnsi="宋体" w:eastAsia="宋体" w:cs="宋体"/>
          <w:b/>
          <w:bCs/>
          <w:i/>
          <w:iCs/>
          <w:sz w:val="24"/>
          <w:szCs w:val="20"/>
          <w:u w:val="single"/>
        </w:rPr>
        <w:t xml:space="preserve">均必须如实反映响应或偏离情况，如</w:t>
      </w:r>
      <w:r>
        <w:rPr>
          <w:rFonts w:hint="eastAsia" w:ascii="宋体" w:hAnsi="宋体" w:eastAsia="宋体" w:cs="宋体"/>
          <w:b/>
          <w:bCs/>
          <w:i/>
          <w:iCs/>
          <w:sz w:val="24"/>
          <w:szCs w:val="20"/>
          <w:u w:val="single"/>
          <w:lang w:eastAsia="zh-CN"/>
        </w:rPr>
        <w:t xml:space="preserve">投标人</w:t>
      </w:r>
      <w:r>
        <w:rPr>
          <w:rFonts w:hint="eastAsia" w:ascii="宋体" w:hAnsi="宋体" w:eastAsia="宋体" w:cs="宋体"/>
          <w:b/>
          <w:bCs/>
          <w:i/>
          <w:iCs/>
          <w:sz w:val="24"/>
          <w:szCs w:val="20"/>
          <w:u w:val="single"/>
        </w:rPr>
        <w:t xml:space="preserve">虚假响应招标文件要求，则一切后果由</w:t>
      </w:r>
      <w:r>
        <w:rPr>
          <w:rFonts w:hint="eastAsia" w:ascii="宋体" w:hAnsi="宋体" w:eastAsia="宋体" w:cs="宋体"/>
          <w:b/>
          <w:bCs/>
          <w:i/>
          <w:iCs/>
          <w:sz w:val="24"/>
          <w:szCs w:val="20"/>
          <w:u w:val="single"/>
          <w:lang w:eastAsia="zh-CN"/>
        </w:rPr>
        <w:t xml:space="preserve">投标人</w:t>
      </w:r>
      <w:r>
        <w:rPr>
          <w:rFonts w:hint="eastAsia" w:ascii="宋体" w:hAnsi="宋体" w:eastAsia="宋体" w:cs="宋体"/>
          <w:b/>
          <w:bCs/>
          <w:i/>
          <w:iCs/>
          <w:sz w:val="24"/>
          <w:szCs w:val="20"/>
          <w:u w:val="single"/>
        </w:rPr>
        <w:t xml:space="preserve">自行承担。</w:t>
      </w:r>
      <w:r>
        <w:rPr>
          <w:rFonts w:hint="eastAsia" w:ascii="宋体" w:hAnsi="宋体" w:eastAsia="宋体" w:cs="宋体"/>
          <w:b/>
          <w:bCs/>
          <w:i/>
          <w:iCs/>
          <w:sz w:val="24"/>
          <w:szCs w:val="20"/>
          <w:u w:val="single"/>
          <w:lang w:eastAsia="zh-CN"/>
        </w:rPr>
        <w:t xml:space="preserve">采购人</w:t>
      </w:r>
      <w:r>
        <w:rPr>
          <w:rFonts w:hint="eastAsia" w:ascii="宋体" w:hAnsi="宋体" w:eastAsia="宋体" w:cs="宋体"/>
          <w:b/>
          <w:bCs/>
          <w:i/>
          <w:iCs/>
          <w:sz w:val="24"/>
          <w:szCs w:val="20"/>
          <w:u w:val="single"/>
        </w:rPr>
        <w:t xml:space="preserve">保留追究法律责任的权利。（投标人须出具承诺函，</w:t>
      </w:r>
      <w:r>
        <w:rPr>
          <w:rFonts w:hint="eastAsia" w:ascii="宋体" w:hAnsi="宋体" w:eastAsia="宋体" w:cs="宋体"/>
          <w:b/>
          <w:bCs/>
          <w:i/>
          <w:iCs/>
          <w:sz w:val="24"/>
          <w:szCs w:val="20"/>
          <w:u w:val="single"/>
          <w:lang w:val="en-US" w:eastAsia="zh-CN"/>
        </w:rPr>
        <w:t xml:space="preserve">承诺函自制</w:t>
      </w:r>
      <w:r>
        <w:rPr>
          <w:rFonts w:hint="eastAsia" w:ascii="宋体" w:hAnsi="宋体" w:eastAsia="宋体" w:cs="宋体"/>
          <w:b/>
          <w:bCs/>
          <w:i/>
          <w:iCs/>
          <w:sz w:val="24"/>
          <w:szCs w:val="20"/>
          <w:u w:val="single"/>
          <w:lang w:eastAsia="zh-CN"/>
        </w:rPr>
        <w:t xml:space="preserve">，</w:t>
      </w:r>
      <w:r>
        <w:rPr>
          <w:rFonts w:hint="eastAsia" w:ascii="宋体" w:hAnsi="宋体" w:eastAsia="宋体" w:cs="宋体"/>
          <w:b/>
          <w:bCs/>
          <w:i/>
          <w:iCs/>
          <w:sz w:val="24"/>
          <w:szCs w:val="20"/>
          <w:u w:val="single"/>
        </w:rPr>
        <w:t xml:space="preserve">并加盖投标人公章）</w:t>
      </w:r>
      <w:r/>
    </w:p>
    <w:p>
      <w:pPr>
        <w:ind w:firstLine="482"/>
        <w:spacing w:line="560" w:lineRule="exact"/>
        <w:widowControl/>
        <w:rPr>
          <w:rFonts w:ascii="宋体" w:hAnsi="宋体" w:eastAsia="Arial" w:cs="宋体"/>
          <w:b/>
          <w:bCs/>
          <w:i/>
          <w:iCs/>
          <w:sz w:val="24"/>
          <w:szCs w:val="20"/>
          <w:u w:val="single"/>
        </w:rPr>
      </w:pPr>
      <w:r>
        <w:rPr>
          <w:rFonts w:hint="eastAsia" w:ascii="宋体" w:hAnsi="宋体" w:eastAsia="宋体" w:cs="宋体"/>
          <w:b/>
          <w:bCs/>
          <w:i/>
          <w:iCs/>
          <w:sz w:val="24"/>
          <w:szCs w:val="20"/>
          <w:u w:val="single"/>
        </w:rPr>
        <w:t xml:space="preserve">★（</w:t>
      </w:r>
      <w:r>
        <w:rPr>
          <w:rFonts w:hint="eastAsia" w:ascii="宋体" w:hAnsi="宋体" w:eastAsia="Arial" w:cs="宋体"/>
          <w:b/>
          <w:bCs/>
          <w:i/>
          <w:iCs/>
          <w:sz w:val="24"/>
          <w:szCs w:val="20"/>
          <w:u w:val="single"/>
        </w:rPr>
        <w:t xml:space="preserve">2</w:t>
      </w:r>
      <w:r>
        <w:rPr>
          <w:rFonts w:hint="eastAsia" w:ascii="宋体" w:hAnsi="宋体" w:eastAsia="宋体" w:cs="宋体"/>
          <w:b/>
          <w:bCs/>
          <w:i/>
          <w:iCs/>
          <w:sz w:val="24"/>
          <w:szCs w:val="20"/>
          <w:u w:val="single"/>
        </w:rPr>
        <w:t xml:space="preserve">）</w:t>
      </w:r>
      <w:r>
        <w:rPr>
          <w:rFonts w:hint="eastAsia" w:ascii="宋体" w:hAnsi="宋体" w:eastAsia="宋体" w:cs="宋体"/>
          <w:b/>
          <w:bCs/>
          <w:i/>
          <w:iCs/>
          <w:sz w:val="24"/>
          <w:szCs w:val="20"/>
          <w:u w:val="single"/>
          <w:lang w:eastAsia="zh-CN"/>
        </w:rPr>
        <w:t xml:space="preserve">投标人</w:t>
      </w:r>
      <w:r>
        <w:rPr>
          <w:rFonts w:hint="eastAsia" w:ascii="宋体" w:hAnsi="宋体" w:eastAsia="宋体" w:cs="宋体"/>
          <w:b/>
          <w:bCs/>
          <w:i/>
          <w:iCs/>
          <w:sz w:val="24"/>
          <w:szCs w:val="20"/>
          <w:u w:val="single"/>
        </w:rPr>
        <w:t xml:space="preserve">需在投标之前充分调研盐城市现有公共数据平台及相关关联系统现状，所投的报价含系统开发、调试、对接、第三方数据及服务购买、运维、培训、服务费、税金及质保期内的后续服务一切费用，即甲方不再另行支付其他费用。（投标人须出具承诺函，</w:t>
      </w:r>
      <w:r>
        <w:rPr>
          <w:rFonts w:hint="eastAsia" w:ascii="宋体" w:hAnsi="宋体" w:eastAsia="宋体" w:cs="宋体"/>
          <w:b/>
          <w:bCs/>
          <w:i/>
          <w:iCs/>
          <w:sz w:val="24"/>
          <w:szCs w:val="20"/>
          <w:u w:val="single"/>
          <w:lang w:val="en-US" w:eastAsia="zh-CN"/>
        </w:rPr>
        <w:t xml:space="preserve">承诺函自制</w:t>
      </w:r>
      <w:r>
        <w:rPr>
          <w:rFonts w:hint="eastAsia" w:ascii="宋体" w:hAnsi="宋体" w:eastAsia="宋体" w:cs="宋体"/>
          <w:b/>
          <w:bCs/>
          <w:i/>
          <w:iCs/>
          <w:sz w:val="24"/>
          <w:szCs w:val="20"/>
          <w:u w:val="single"/>
          <w:lang w:eastAsia="zh-CN"/>
        </w:rPr>
        <w:t xml:space="preserve">，</w:t>
      </w:r>
      <w:r>
        <w:rPr>
          <w:rFonts w:hint="eastAsia" w:ascii="宋体" w:hAnsi="宋体" w:eastAsia="宋体" w:cs="宋体"/>
          <w:b/>
          <w:bCs/>
          <w:i/>
          <w:iCs/>
          <w:sz w:val="24"/>
          <w:szCs w:val="20"/>
          <w:u w:val="single"/>
        </w:rPr>
        <w:t xml:space="preserve">并加盖投标人公章）</w:t>
      </w:r>
      <w:r/>
    </w:p>
    <w:p>
      <w:pPr>
        <w:ind w:firstLine="482"/>
        <w:spacing w:line="560" w:lineRule="exact"/>
        <w:widowControl/>
        <w:rPr>
          <w:rFonts w:hint="eastAsia" w:ascii="宋体" w:hAnsi="宋体" w:eastAsia="宋体" w:cs="宋体"/>
          <w:sz w:val="24"/>
          <w:szCs w:val="20"/>
        </w:rPr>
      </w:pPr>
      <w:r>
        <w:rPr>
          <w:rFonts w:hint="eastAsia" w:ascii="宋体" w:hAnsi="宋体" w:eastAsia="宋体" w:cs="宋体"/>
          <w:b/>
          <w:bCs/>
          <w:i/>
          <w:iCs/>
          <w:sz w:val="24"/>
          <w:szCs w:val="20"/>
          <w:u w:val="single"/>
        </w:rPr>
        <w:t xml:space="preserve">注：本项目招标文件中标注★为实质性要求，不允许负偏离，否则为无效投标。</w:t>
      </w:r>
      <w:r/>
    </w:p>
    <w:p>
      <w:pPr>
        <w:ind w:firstLine="482"/>
        <w:spacing w:line="560" w:lineRule="exact"/>
        <w:widowControl/>
        <w:rPr>
          <w:rFonts w:hint="eastAsia" w:ascii="宋体" w:hAnsi="宋体" w:eastAsia="宋体" w:cs="宋体"/>
          <w:b/>
          <w:bCs/>
          <w:sz w:val="24"/>
          <w:szCs w:val="20"/>
          <w:lang w:bidi="ar"/>
        </w:rPr>
        <w:outlineLvl w:val="2"/>
      </w:pPr>
      <w:r>
        <w:rPr>
          <w:rFonts w:hint="eastAsia" w:ascii="宋体" w:hAnsi="宋体" w:eastAsia="宋体" w:cs="宋体"/>
          <w:b/>
          <w:bCs/>
          <w:sz w:val="24"/>
          <w:szCs w:val="20"/>
          <w:lang w:bidi="ar"/>
        </w:rPr>
        <w:t xml:space="preserve">三、技术方案</w:t>
      </w:r>
      <w:r/>
    </w:p>
    <w:p>
      <w:pPr>
        <w:numPr>
          <w:ilvl w:val="0"/>
          <w:numId w:val="4"/>
        </w:numPr>
        <w:spacing w:line="400" w:lineRule="exact"/>
        <w:widowControl/>
        <w:rPr>
          <w:rFonts w:ascii="Times New Roman" w:hAnsi="Times New Roman" w:eastAsia="宋体"/>
          <w:b/>
          <w:bCs/>
          <w:sz w:val="24"/>
          <w:szCs w:val="20"/>
          <w:lang w:bidi="ar"/>
        </w:rPr>
        <w:outlineLvl w:val="3"/>
      </w:pPr>
      <w:r>
        <w:rPr>
          <w:rFonts w:hint="eastAsia" w:ascii="Times New Roman" w:hAnsi="Times New Roman" w:eastAsia="宋体"/>
          <w:b/>
          <w:bCs/>
          <w:sz w:val="24"/>
          <w:szCs w:val="20"/>
          <w:lang w:bidi="ar"/>
        </w:rPr>
        <w:t xml:space="preserve">现状及需求分析方案</w:t>
      </w:r>
      <w:r/>
    </w:p>
    <w:p>
      <w:pPr>
        <w:ind w:firstLine="482"/>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投标人需要对本项目具有深入透彻的理解，需提供详细的现状及需求分析方案，方案至少包含：建设背景、相关政策分析、现状及问题分析、需求分析等内容。</w:t>
      </w:r>
      <w:r/>
    </w:p>
    <w:p>
      <w:pPr>
        <w:ind w:firstLine="482"/>
        <w:spacing w:line="400" w:lineRule="exact"/>
        <w:widowControl/>
        <w:rPr>
          <w:rFonts w:hint="eastAsia" w:ascii="宋体" w:hAnsi="宋体" w:eastAsia="宋体" w:cs="宋体"/>
          <w:b/>
          <w:bCs/>
          <w:sz w:val="24"/>
          <w:szCs w:val="20"/>
          <w:lang w:bidi="ar"/>
        </w:rPr>
        <w:outlineLvl w:val="4"/>
      </w:pPr>
      <w:r>
        <w:rPr>
          <w:rFonts w:hint="eastAsia" w:ascii="宋体" w:hAnsi="宋体" w:eastAsia="宋体" w:cs="宋体"/>
          <w:b/>
          <w:bCs/>
          <w:sz w:val="24"/>
          <w:szCs w:val="20"/>
          <w:lang w:bidi="ar"/>
        </w:rPr>
        <w:t xml:space="preserve">1.建设背景</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投标人应对照国家、省市最新政策标准，分析当前盐城市公共数据管理方面面临的安全风险和安全管控与开发利用方面存在的不足，对照《政务数据共享条例》，分析当前全市公共数据管理方面存在的制度设计缺陷，阐述本项目在当下数字化时代的建设的重要性，明确了解本项目任务建设的紧迫性。</w:t>
      </w:r>
      <w:r/>
    </w:p>
    <w:p>
      <w:pPr>
        <w:ind w:firstLine="482"/>
        <w:spacing w:line="400" w:lineRule="exact"/>
        <w:widowControl/>
        <w:rPr>
          <w:rFonts w:hint="eastAsia" w:ascii="宋体" w:hAnsi="宋体" w:eastAsia="宋体" w:cs="宋体"/>
          <w:b/>
          <w:bCs/>
          <w:sz w:val="24"/>
          <w:szCs w:val="20"/>
          <w:lang w:bidi="ar"/>
        </w:rPr>
        <w:outlineLvl w:val="4"/>
      </w:pPr>
      <w:r>
        <w:rPr>
          <w:rFonts w:hint="eastAsia" w:ascii="宋体" w:hAnsi="宋体" w:eastAsia="宋体" w:cs="宋体"/>
          <w:b/>
          <w:bCs/>
          <w:sz w:val="24"/>
          <w:szCs w:val="20"/>
          <w:lang w:bidi="ar"/>
        </w:rPr>
        <w:t xml:space="preserve">2.相关政策分析</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投标人</w:t>
      </w:r>
      <w:r>
        <w:rPr>
          <w:rFonts w:hint="eastAsia" w:ascii="宋体" w:hAnsi="宋体" w:eastAsia="宋体" w:cs="宋体"/>
          <w:sz w:val="24"/>
          <w:szCs w:val="20"/>
          <w:lang w:bidi="ar"/>
        </w:rPr>
        <w:t xml:space="preserve">需对当前国内外，尤其本省本市数据安全相关政策法规透彻理解，分析政策导向对项目的约束和指引，梳理数据安全治理的层级化政策体系与落地实践，需以国家《数据安全法》《政务数据共享条例》等顶层设计为核心，衔接《江苏省公共数据管理办法》《江苏省数据条例》的省级承接细则，同步结合《盐城市公共数据管理办法》的市级实操规范，重点分析三级政策在分类分级保护、共享开放安全边界、责任主体划分等核心维度的衔接逻辑与区域特色，明晰从国家法治化框架到省级协同机制、再到市级平台落地的政策传导路径，为政务数据安全合规运营与风险防控提供依据。</w:t>
      </w:r>
      <w:r/>
    </w:p>
    <w:p>
      <w:pPr>
        <w:ind w:firstLine="482"/>
        <w:spacing w:line="400" w:lineRule="exact"/>
        <w:widowControl/>
        <w:rPr>
          <w:rFonts w:hint="eastAsia" w:ascii="宋体" w:hAnsi="宋体" w:eastAsia="宋体" w:cs="宋体"/>
          <w:b/>
          <w:bCs/>
          <w:sz w:val="24"/>
          <w:szCs w:val="20"/>
          <w:lang w:bidi="ar"/>
        </w:rPr>
        <w:outlineLvl w:val="4"/>
      </w:pPr>
      <w:r>
        <w:rPr>
          <w:rFonts w:hint="eastAsia" w:ascii="宋体" w:hAnsi="宋体" w:eastAsia="宋体" w:cs="宋体"/>
          <w:b/>
          <w:bCs/>
          <w:sz w:val="24"/>
          <w:szCs w:val="20"/>
          <w:lang w:bidi="ar"/>
        </w:rPr>
        <w:t xml:space="preserve">3.现状及问题分析</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投标人需结合国家《数据安全法》《政务数据共享条例》等顶层政策框架、江苏省相关政策细则及盐城市本地实操规范的三级政务数据安全治理要求，</w:t>
      </w:r>
      <w:r>
        <w:rPr>
          <w:rFonts w:ascii="宋体" w:hAnsi="宋体" w:eastAsia="宋体" w:cs="宋体"/>
          <w:sz w:val="24"/>
          <w:szCs w:val="20"/>
          <w:lang w:bidi="ar"/>
        </w:rPr>
        <w:t xml:space="preserve">剖析当前数据安全</w:t>
      </w:r>
      <w:r>
        <w:rPr>
          <w:rFonts w:hint="eastAsia" w:ascii="宋体" w:hAnsi="宋体" w:eastAsia="宋体" w:cs="宋体"/>
          <w:sz w:val="24"/>
          <w:szCs w:val="20"/>
          <w:lang w:bidi="ar"/>
        </w:rPr>
        <w:t xml:space="preserve">现状，对当前数据安全能力与配套服务的不足进行详细，以全面契合盐城市政策合规导向、筑牢公共数据全生命周期安全防线，并给出分析思路</w:t>
      </w:r>
      <w:r>
        <w:rPr>
          <w:rFonts w:ascii="宋体" w:hAnsi="宋体" w:eastAsia="宋体" w:cs="宋体"/>
          <w:sz w:val="24"/>
          <w:szCs w:val="20"/>
          <w:lang w:bidi="ar"/>
        </w:rPr>
        <w:t xml:space="preserve">。</w:t>
      </w:r>
      <w:r/>
    </w:p>
    <w:p>
      <w:pPr>
        <w:ind w:firstLine="482"/>
        <w:spacing w:line="400" w:lineRule="exact"/>
        <w:widowControl/>
        <w:rPr>
          <w:rFonts w:hint="eastAsia" w:ascii="宋体" w:hAnsi="宋体" w:eastAsia="宋体" w:cs="宋体"/>
          <w:b/>
          <w:bCs/>
          <w:sz w:val="24"/>
          <w:szCs w:val="20"/>
          <w:lang w:bidi="ar"/>
        </w:rPr>
        <w:outlineLvl w:val="4"/>
      </w:pPr>
      <w:r>
        <w:rPr>
          <w:rFonts w:hint="eastAsia" w:ascii="宋体" w:hAnsi="宋体" w:eastAsia="宋体" w:cs="宋体"/>
          <w:b/>
          <w:bCs/>
          <w:sz w:val="24"/>
          <w:szCs w:val="20"/>
          <w:lang w:bidi="ar"/>
        </w:rPr>
        <w:t xml:space="preserve">4.需求分析</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投标人需结合当前盐城市数据安全现状，从数据安全管理平台、数据安全运营、数据安全工作区设备等维度对数据安全需求进行分析，同时从适度创新角度出发，对本项目的数据安全管理、运营、技术等方面具体需求开展深入分析。</w:t>
      </w:r>
      <w:r/>
    </w:p>
    <w:p>
      <w:pPr>
        <w:numPr>
          <w:ilvl w:val="0"/>
          <w:numId w:val="4"/>
        </w:numPr>
        <w:spacing w:line="400" w:lineRule="exact"/>
        <w:widowControl/>
        <w:rPr>
          <w:rFonts w:ascii="Times New Roman" w:hAnsi="Times New Roman" w:eastAsia="宋体"/>
          <w:b/>
          <w:bCs/>
          <w:color w:val="ee0000"/>
          <w:sz w:val="24"/>
          <w:szCs w:val="20"/>
          <w:lang w:bidi="ar"/>
        </w:rPr>
        <w:outlineLvl w:val="3"/>
      </w:pPr>
      <w:r>
        <w:rPr>
          <w:rFonts w:hint="eastAsia" w:ascii="Times New Roman" w:hAnsi="Times New Roman" w:eastAsia="宋体"/>
          <w:b/>
          <w:bCs/>
          <w:sz w:val="24"/>
          <w:szCs w:val="20"/>
          <w:lang w:bidi="ar"/>
        </w:rPr>
        <w:t xml:space="preserve">总体设计方案</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投标人提供科学合理的总体方案设计方案，方案至少包含：总体原则、总体框架、技术路线设计、网络架构设计、数据对接设计等内容。</w:t>
      </w:r>
      <w:r/>
    </w:p>
    <w:p>
      <w:pPr>
        <w:ind w:firstLine="482"/>
        <w:spacing w:line="400" w:lineRule="exact"/>
        <w:widowControl/>
        <w:rPr>
          <w:rFonts w:hint="eastAsia" w:ascii="宋体" w:hAnsi="宋体" w:eastAsia="宋体" w:cs="宋体"/>
          <w:b/>
          <w:bCs/>
          <w:sz w:val="24"/>
          <w:szCs w:val="20"/>
          <w:lang w:bidi="ar"/>
        </w:rPr>
        <w:outlineLvl w:val="4"/>
      </w:pPr>
      <w:r>
        <w:rPr>
          <w:rFonts w:hint="eastAsia" w:ascii="宋体" w:hAnsi="宋体" w:eastAsia="宋体" w:cs="宋体"/>
          <w:b/>
          <w:bCs/>
          <w:sz w:val="24"/>
          <w:szCs w:val="20"/>
          <w:lang w:bidi="ar"/>
        </w:rPr>
        <w:t xml:space="preserve">1.总体原则</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需以国家、江苏、盐城三级政务数据安全政策为核心遵循，坚持“合规先行、安全优先、协同适配”原则，既要契合数据全生命周期安全管理、分类分级保护等政策硬性要求，又要适配盐城市现有公共数据共享开放体系的业务场景，实现安全防控与数据高效流通的动态平衡。</w:t>
      </w:r>
      <w:r/>
    </w:p>
    <w:p>
      <w:pPr>
        <w:ind w:firstLine="482"/>
        <w:spacing w:line="400" w:lineRule="exact"/>
        <w:widowControl/>
        <w:rPr>
          <w:rFonts w:hint="eastAsia" w:ascii="宋体" w:hAnsi="宋体" w:eastAsia="宋体" w:cs="宋体"/>
          <w:b/>
          <w:bCs/>
          <w:sz w:val="24"/>
          <w:szCs w:val="20"/>
          <w:lang w:bidi="ar"/>
        </w:rPr>
        <w:outlineLvl w:val="4"/>
      </w:pPr>
      <w:r>
        <w:rPr>
          <w:rFonts w:hint="eastAsia" w:ascii="宋体" w:hAnsi="宋体" w:eastAsia="宋体" w:cs="宋体"/>
          <w:b/>
          <w:bCs/>
          <w:sz w:val="24"/>
          <w:szCs w:val="20"/>
          <w:lang w:bidi="ar"/>
        </w:rPr>
        <w:t xml:space="preserve">2.总体框架</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需构建“政策适配-技术支撑-管理闭环-运营保障”一体化数据安全总体框架，全面覆盖组织架构、制度流程、技术防护、应急处置等核心模块，既要衔接国家顶层设计与省市细则的层级要求，又要贴合盐城市的现有基础，明确各环节安全责任边界与协同机制。</w:t>
      </w:r>
      <w:r/>
    </w:p>
    <w:p>
      <w:pPr>
        <w:ind w:firstLine="482"/>
        <w:spacing w:line="400" w:lineRule="exact"/>
        <w:widowControl/>
        <w:rPr>
          <w:rFonts w:hint="eastAsia" w:ascii="宋体" w:hAnsi="宋体" w:eastAsia="宋体" w:cs="宋体"/>
          <w:b/>
          <w:bCs/>
          <w:sz w:val="24"/>
          <w:szCs w:val="20"/>
          <w:lang w:bidi="ar"/>
        </w:rPr>
        <w:outlineLvl w:val="4"/>
      </w:pPr>
      <w:r>
        <w:rPr>
          <w:rFonts w:hint="eastAsia" w:ascii="宋体" w:hAnsi="宋体" w:eastAsia="宋体" w:cs="宋体"/>
          <w:b/>
          <w:bCs/>
          <w:sz w:val="24"/>
          <w:szCs w:val="20"/>
          <w:lang w:bidi="ar"/>
        </w:rPr>
        <w:t xml:space="preserve">3.技术路线设计</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需聚焦政策合规与风险防控双重目标，优先采用数据溯源等成熟适配的安全技术，覆盖数据采集、存储、传输、共享、使用、销毁全流程，同时兼顾与盐城市现有公共数据平台的兼容性，支持技术能力的迭代升级与灵活扩展。</w:t>
      </w:r>
      <w:r/>
    </w:p>
    <w:p>
      <w:pPr>
        <w:ind w:firstLine="482"/>
        <w:spacing w:line="400" w:lineRule="exact"/>
        <w:widowControl/>
        <w:rPr>
          <w:rFonts w:hint="eastAsia" w:ascii="宋体" w:hAnsi="宋体" w:eastAsia="宋体" w:cs="宋体"/>
          <w:b/>
          <w:bCs/>
          <w:sz w:val="24"/>
          <w:szCs w:val="20"/>
          <w:lang w:bidi="ar"/>
        </w:rPr>
        <w:outlineLvl w:val="4"/>
      </w:pPr>
      <w:r>
        <w:rPr>
          <w:rFonts w:hint="eastAsia" w:ascii="宋体" w:hAnsi="宋体" w:eastAsia="宋体" w:cs="宋体"/>
          <w:b/>
          <w:bCs/>
          <w:sz w:val="24"/>
          <w:szCs w:val="20"/>
          <w:lang w:bidi="ar"/>
        </w:rPr>
        <w:t xml:space="preserve">4.网络架构设计</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需遵循网络安全等级保护、安全隔离、分级防护等政策要求，构建“边界防护-区域隔离-终端管控”的纵深防御网络架构，保障公共数据在跨部门、跨层级传输中的安全性与可控性，同时适配盐城市现有信息资源中心的平台架构，具备弹性扩展与应急冗余能力。</w:t>
      </w:r>
      <w:r/>
    </w:p>
    <w:p>
      <w:pPr>
        <w:ind w:firstLine="482"/>
        <w:spacing w:line="400" w:lineRule="exact"/>
        <w:widowControl/>
        <w:rPr>
          <w:rFonts w:hint="eastAsia" w:ascii="宋体" w:hAnsi="宋体" w:eastAsia="宋体" w:cs="宋体"/>
          <w:b/>
          <w:bCs/>
          <w:sz w:val="24"/>
          <w:szCs w:val="20"/>
          <w:lang w:bidi="ar"/>
        </w:rPr>
        <w:outlineLvl w:val="4"/>
      </w:pPr>
      <w:r>
        <w:rPr>
          <w:rFonts w:hint="eastAsia" w:ascii="宋体" w:hAnsi="宋体" w:eastAsia="宋体" w:cs="宋体"/>
          <w:b/>
          <w:bCs/>
          <w:sz w:val="24"/>
          <w:szCs w:val="20"/>
          <w:lang w:bidi="ar"/>
        </w:rPr>
        <w:t xml:space="preserve">5.数据对接内容</w:t>
      </w:r>
      <w:r/>
    </w:p>
    <w:p>
      <w:pPr>
        <w:ind w:firstLine="480"/>
        <w:spacing w:line="560" w:lineRule="exact"/>
        <w:widowControl/>
        <w:rPr>
          <w:rFonts w:hint="eastAsia" w:ascii="宋体" w:hAnsi="宋体" w:eastAsia="宋体" w:cs="宋体"/>
          <w:sz w:val="24"/>
          <w:szCs w:val="20"/>
          <w:lang w:bidi="ar"/>
        </w:rPr>
      </w:pPr>
      <w:r>
        <w:rPr>
          <w:rFonts w:ascii="宋体" w:hAnsi="宋体" w:eastAsia="宋体" w:cs="宋体"/>
          <w:sz w:val="24"/>
          <w:szCs w:val="20"/>
          <w:lang w:bidi="ar"/>
        </w:rPr>
        <w:t xml:space="preserve">需严格遵循</w:t>
      </w:r>
      <w:r>
        <w:rPr>
          <w:rFonts w:hint="eastAsia" w:ascii="宋体" w:hAnsi="宋体" w:eastAsia="宋体" w:cs="宋体"/>
          <w:sz w:val="24"/>
          <w:szCs w:val="20"/>
          <w:lang w:bidi="ar"/>
        </w:rPr>
        <w:t xml:space="preserve">国家、江苏省及盐城市</w:t>
      </w:r>
      <w:r>
        <w:rPr>
          <w:rFonts w:ascii="宋体" w:hAnsi="宋体" w:eastAsia="宋体" w:cs="宋体"/>
          <w:sz w:val="24"/>
          <w:szCs w:val="20"/>
          <w:lang w:bidi="ar"/>
        </w:rPr>
        <w:t xml:space="preserve">关于数据共享开放安全边界、对接流程的要求，规范数据格式、接口协议，确保数据对接全流程合规可控，同时满足业务场景的高效使用需求。</w:t>
      </w:r>
      <w:r/>
    </w:p>
    <w:p>
      <w:pPr>
        <w:numPr>
          <w:ilvl w:val="0"/>
          <w:numId w:val="4"/>
        </w:numPr>
        <w:spacing w:line="400" w:lineRule="exact"/>
        <w:widowControl/>
        <w:rPr>
          <w:rFonts w:ascii="Times New Roman" w:hAnsi="Times New Roman" w:eastAsia="宋体"/>
          <w:b/>
          <w:bCs/>
          <w:sz w:val="24"/>
          <w:szCs w:val="20"/>
          <w:lang w:bidi="ar"/>
        </w:rPr>
        <w:outlineLvl w:val="3"/>
      </w:pPr>
      <w:r>
        <w:rPr>
          <w:rFonts w:hint="eastAsia" w:ascii="Times New Roman" w:hAnsi="Times New Roman" w:eastAsia="宋体"/>
          <w:b/>
          <w:bCs/>
          <w:sz w:val="24"/>
          <w:szCs w:val="20"/>
          <w:lang w:bidi="ar"/>
        </w:rPr>
        <w:t xml:space="preserve">详细设计方案</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投标人根据第四章采购需求中“建设内容”，提供科学合理的详细设计方案，方案至少包含：数据安全运营中心建设方案、数据安全防护产品部署方案、数据安全运营服务方案、数据安全工作区设备采购与交付方案。</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1.数据安全运营中心建设方案</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需以政务数据安全政策为合规基准，结合盐城市现有公共数据共享开放体系架构，构建集“监测预警、风险研判、应急处置、合规审计”于一体的数据安全运营中心。中心需覆盖数据全生命周期安全管控，具备分类分级安全态势可视化、跨部门协同联动、异常行为实时溯源等核心能力，既要适配市政府信息资源中心一二期项目现有基础，又能满足政策对数据安全事件响应时效、责任追溯的硬性要求，实现安全风险闭环管理。</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2.数据安全防护产品部署方案</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需严格遵循数据全生命周期安全防护政策要求，结合盐城市公共数据共享开放场景特点，部署适配现有基础资源现状。产品选型需符合国家及省市相关技术标准，重点覆盖数据采集合规校验、敏感数据流转监测等关键环节，同时保障与现有公共数据共享开放平台的兼容性。</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3.数据安全运营服务方案</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需围绕政策合规落地与安全风险常态化防控，提供全流程数据安全运营服务。服务内容应包括日常安全运维、定期风险评估与合规审计、应急响应支持等，同时需建立政策动态跟踪机制，及时适配国家及省市数据安全政策更新要求。服务团队需熟悉盐城市公共数据共享开放体系架构，能针对性解决数据对接、共享使用中的安全痛点，确保运营服务与中心建设、产品部署形成协同，持续筑牢政务数据安全防线。</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4.数据安全工作区设备采购与交付方案</w:t>
      </w:r>
      <w:r/>
    </w:p>
    <w:p>
      <w:pPr>
        <w:ind w:firstLine="480"/>
        <w:spacing w:line="560" w:lineRule="exact"/>
        <w:widowControl/>
        <w:rPr>
          <w:rFonts w:hint="eastAsia" w:ascii="宋体" w:hAnsi="宋体" w:eastAsia="宋体" w:cs="宋体"/>
          <w:sz w:val="24"/>
          <w:szCs w:val="20"/>
          <w:lang w:bidi="ar"/>
        </w:rPr>
      </w:pPr>
      <w:r>
        <w:rPr>
          <w:rFonts w:ascii="宋体" w:hAnsi="宋体" w:eastAsia="宋体" w:cs="宋体"/>
          <w:sz w:val="24"/>
          <w:szCs w:val="20"/>
          <w:lang w:bidi="ar"/>
        </w:rPr>
        <w:t xml:space="preserve">需按</w:t>
      </w:r>
      <w:r>
        <w:rPr>
          <w:rFonts w:hint="eastAsia" w:ascii="宋体" w:hAnsi="宋体" w:eastAsia="宋体" w:cs="宋体"/>
          <w:sz w:val="24"/>
          <w:szCs w:val="20"/>
          <w:lang w:bidi="ar"/>
        </w:rPr>
        <w:t xml:space="preserve">相关</w:t>
      </w:r>
      <w:r>
        <w:rPr>
          <w:rFonts w:ascii="宋体" w:hAnsi="宋体" w:eastAsia="宋体" w:cs="宋体"/>
          <w:sz w:val="24"/>
          <w:szCs w:val="20"/>
          <w:lang w:bidi="ar"/>
        </w:rPr>
        <w:t xml:space="preserve">政策要求，采购满足政务数据安全操作标准的设备。设备需适配数据安全工作区的业务场景，同时明确设备技术参数、合规认证要求及交付时限，制定规范的安装调试、验收测试流程，确保设备交付后能快速融入现有安全体系，为数据安全运营、防护工作提供稳定可靠的硬件支撑。</w:t>
      </w:r>
      <w:r/>
    </w:p>
    <w:p>
      <w:pPr>
        <w:numPr>
          <w:ilvl w:val="0"/>
          <w:numId w:val="4"/>
        </w:numPr>
        <w:spacing w:line="400" w:lineRule="exact"/>
        <w:widowControl/>
        <w:rPr>
          <w:rFonts w:ascii="Times New Roman" w:hAnsi="Times New Roman" w:eastAsia="宋体"/>
          <w:b/>
          <w:bCs/>
          <w:sz w:val="24"/>
          <w:szCs w:val="20"/>
          <w:lang w:bidi="ar"/>
        </w:rPr>
        <w:outlineLvl w:val="3"/>
      </w:pPr>
      <w:r>
        <w:rPr>
          <w:rFonts w:hint="eastAsia" w:ascii="Times New Roman" w:hAnsi="Times New Roman" w:eastAsia="宋体"/>
          <w:b/>
          <w:bCs/>
          <w:sz w:val="24"/>
          <w:szCs w:val="20"/>
          <w:lang w:bidi="ar"/>
        </w:rPr>
        <w:t xml:space="preserve">项目实施方案</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投标人提供科学合理的项目实施方案，方案至少包含：项目组织、人员保障、项目进度安排、项目管理、项目验收等内容。</w:t>
      </w:r>
      <w:r/>
    </w:p>
    <w:p>
      <w:pPr>
        <w:ind w:firstLine="482"/>
        <w:spacing w:line="400" w:lineRule="exact"/>
        <w:widowControl/>
        <w:rPr>
          <w:rFonts w:hint="eastAsia" w:ascii="宋体" w:hAnsi="宋体" w:eastAsia="宋体" w:cs="宋体"/>
          <w:b/>
          <w:bCs/>
          <w:sz w:val="24"/>
          <w:szCs w:val="20"/>
          <w:lang w:bidi="ar"/>
        </w:rPr>
        <w:outlineLvl w:val="4"/>
      </w:pPr>
      <w:r>
        <w:rPr>
          <w:rFonts w:hint="eastAsia" w:ascii="宋体" w:hAnsi="宋体" w:eastAsia="宋体" w:cs="宋体"/>
          <w:b/>
          <w:bCs/>
          <w:sz w:val="24"/>
          <w:szCs w:val="20"/>
          <w:lang w:bidi="ar"/>
        </w:rPr>
        <w:t xml:space="preserve">1.项目组织</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需构建“项目总控+专项执行”的项目组织架构，明确各层级职责边界与协同机制，统筹协调技术研发、部署实施、培训验收等全流程工作。需紧密对接盐城市政务数据安全相关管理部门，结合现有信息资源中心项目基础与政策要求，确保项目组织高效运转，保障项目合规推进与质量管控。项目实施的组织、管理。</w:t>
      </w:r>
      <w:r/>
    </w:p>
    <w:p>
      <w:pPr>
        <w:ind w:firstLine="482"/>
        <w:spacing w:line="400" w:lineRule="exact"/>
        <w:widowControl/>
        <w:rPr>
          <w:rFonts w:hint="eastAsia" w:ascii="宋体" w:hAnsi="宋体" w:eastAsia="宋体" w:cs="宋体"/>
          <w:b/>
          <w:bCs/>
          <w:sz w:val="24"/>
          <w:szCs w:val="20"/>
          <w:lang w:bidi="ar"/>
        </w:rPr>
        <w:outlineLvl w:val="4"/>
      </w:pPr>
      <w:r>
        <w:rPr>
          <w:rFonts w:hint="eastAsia" w:ascii="宋体" w:hAnsi="宋体" w:eastAsia="宋体" w:cs="宋体"/>
          <w:b/>
          <w:bCs/>
          <w:sz w:val="24"/>
          <w:szCs w:val="20"/>
          <w:lang w:bidi="ar"/>
        </w:rPr>
        <w:t xml:space="preserve">2.人员保障</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需提供结构完整、资质匹配的专属项目组人员配备方案：项目经理需熟悉盐城市本地政策与公共数据共享开放体系；技术负责人需兼具政策解读能力与实操技术储备，主导方案落地；其他成员按“技术研发、运维支撑、培训服务”等模块分工，均需提供相关资质证明，确保团队专业能力覆盖项目全场景需求。投标人提供本项目的详细项目组人员配备方案。包括：项目经理、技术负责人、项目组其他成员。</w:t>
      </w:r>
      <w:r/>
    </w:p>
    <w:p>
      <w:pPr>
        <w:ind w:firstLine="482"/>
        <w:spacing w:line="400" w:lineRule="exact"/>
        <w:widowControl/>
        <w:rPr>
          <w:rFonts w:hint="eastAsia" w:ascii="宋体" w:hAnsi="宋体" w:eastAsia="宋体" w:cs="宋体"/>
          <w:b/>
          <w:bCs/>
          <w:sz w:val="24"/>
          <w:szCs w:val="20"/>
          <w:lang w:bidi="ar"/>
        </w:rPr>
        <w:outlineLvl w:val="4"/>
      </w:pPr>
      <w:r>
        <w:rPr>
          <w:rFonts w:hint="eastAsia" w:ascii="宋体" w:hAnsi="宋体" w:eastAsia="宋体" w:cs="宋体"/>
          <w:b/>
          <w:bCs/>
          <w:sz w:val="24"/>
          <w:szCs w:val="20"/>
          <w:lang w:bidi="ar"/>
        </w:rPr>
        <w:t xml:space="preserve">3.项目进度安排</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需结合盐城市现有项目基础与业务推进节奏，制定分阶段进度计划：第一阶段完成需求深度调研与合规方案设计，对接政策要求；第二阶段推进安全产品部署、平台适配与数据对接；第三阶段开展全员培训与系统试运行，优化调整问题；第四阶段完成项目自测与验收准备。明确各阶段时间节点、核心任务与阶段目标，确保项目按期交付。投标人描述项目各项工作的进展计划，并明确完成各项工作预计所需时间及达到的阶段目标。</w:t>
      </w:r>
      <w:r/>
    </w:p>
    <w:p>
      <w:pPr>
        <w:ind w:firstLine="482"/>
        <w:spacing w:line="400" w:lineRule="exact"/>
        <w:widowControl/>
        <w:rPr>
          <w:rFonts w:hint="eastAsia" w:ascii="宋体" w:hAnsi="宋体" w:eastAsia="宋体" w:cs="宋体"/>
          <w:b/>
          <w:bCs/>
          <w:sz w:val="24"/>
          <w:szCs w:val="20"/>
          <w:lang w:bidi="ar"/>
        </w:rPr>
        <w:outlineLvl w:val="4"/>
      </w:pPr>
      <w:r>
        <w:rPr>
          <w:rFonts w:hint="eastAsia" w:ascii="宋体" w:hAnsi="宋体" w:eastAsia="宋体" w:cs="宋体"/>
          <w:b/>
          <w:bCs/>
          <w:sz w:val="24"/>
          <w:szCs w:val="20"/>
          <w:lang w:bidi="ar"/>
        </w:rPr>
        <w:t xml:space="preserve">4.项目管理</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建设期需通过周例会、月度进度报告、风险台账动态管控等流程，及时协调解决项目推进中的问题；运维期通过专属服务团队，建立常态化管理流程，同步对接政策更新动态，提供合规适配优化服务。全程遵循标准化项目管理规范，确保建设期高效推进、运维期稳定可控。同时需阐述项目建设期与运维期管理架构及流程保障方案。</w:t>
      </w:r>
      <w:r/>
    </w:p>
    <w:p>
      <w:pPr>
        <w:ind w:firstLine="482"/>
        <w:spacing w:line="400" w:lineRule="exact"/>
        <w:widowControl/>
        <w:rPr>
          <w:rFonts w:hint="eastAsia" w:ascii="宋体" w:hAnsi="宋体" w:eastAsia="宋体" w:cs="宋体"/>
          <w:b/>
          <w:bCs/>
          <w:sz w:val="24"/>
          <w:szCs w:val="20"/>
          <w:lang w:bidi="ar"/>
        </w:rPr>
        <w:outlineLvl w:val="4"/>
      </w:pPr>
      <w:r>
        <w:rPr>
          <w:rFonts w:hint="eastAsia" w:ascii="宋体" w:hAnsi="宋体" w:eastAsia="宋体" w:cs="宋体"/>
          <w:b/>
          <w:bCs/>
          <w:sz w:val="24"/>
          <w:szCs w:val="20"/>
          <w:lang w:bidi="ar"/>
        </w:rPr>
        <w:t xml:space="preserve">5.项目验收</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需严格按照招投标文件、合同书约定及政务数据安全政策要求，配合采购人完成全流程验收工作。验收前需提供完整的技术文档、培训资料等验收材料；验收过程中积极响应整改要求，确保项目各项指标达标，验收后无缝衔接售后服务与质保期保障。</w:t>
      </w:r>
      <w:r/>
    </w:p>
    <w:p>
      <w:pPr>
        <w:numPr>
          <w:ilvl w:val="0"/>
          <w:numId w:val="4"/>
        </w:numPr>
        <w:spacing w:line="400" w:lineRule="exact"/>
        <w:widowControl/>
        <w:rPr>
          <w:rFonts w:ascii="Times New Roman" w:hAnsi="Times New Roman" w:eastAsia="宋体"/>
          <w:b/>
          <w:bCs/>
          <w:sz w:val="24"/>
          <w:szCs w:val="20"/>
          <w:lang w:bidi="ar"/>
        </w:rPr>
        <w:outlineLvl w:val="3"/>
      </w:pPr>
      <w:r>
        <w:rPr>
          <w:rFonts w:hint="eastAsia" w:ascii="Times New Roman" w:hAnsi="Times New Roman" w:eastAsia="宋体"/>
          <w:b/>
          <w:bCs/>
          <w:sz w:val="24"/>
          <w:szCs w:val="20"/>
          <w:lang w:bidi="ar"/>
        </w:rPr>
        <w:t xml:space="preserve">项目培训方案</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投标人提供科学合理的培训服务方案，方案至少包含：培训目的、培训服务原则、培训质量保障、培训计划、培训内容等内容。</w:t>
      </w:r>
      <w:r/>
    </w:p>
    <w:p>
      <w:pPr>
        <w:ind w:firstLine="482"/>
        <w:spacing w:line="400" w:lineRule="exact"/>
        <w:widowControl/>
        <w:rPr>
          <w:rFonts w:hint="eastAsia" w:ascii="宋体" w:hAnsi="宋体" w:eastAsia="宋体" w:cs="宋体"/>
          <w:b/>
          <w:bCs/>
          <w:sz w:val="24"/>
          <w:szCs w:val="20"/>
          <w:lang w:bidi="ar"/>
        </w:rPr>
        <w:outlineLvl w:val="4"/>
      </w:pPr>
      <w:r>
        <w:rPr>
          <w:rFonts w:hint="eastAsia" w:ascii="宋体" w:hAnsi="宋体" w:eastAsia="宋体" w:cs="宋体"/>
          <w:b/>
          <w:bCs/>
          <w:sz w:val="24"/>
          <w:szCs w:val="20"/>
          <w:lang w:bidi="ar"/>
        </w:rPr>
        <w:t xml:space="preserve">1.培训目的</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对采购人、运营方相关工作人员开展数据安全政策、安全意识等培训，提升整体数据全生命合规管控及应急处置能力，同步适配现有公共数据共享开放体系的业务场景，保障数据安全建设成果落地见效，助力项目全面满足政策合规要求。</w:t>
      </w:r>
      <w:r/>
    </w:p>
    <w:p>
      <w:pPr>
        <w:ind w:firstLine="482"/>
        <w:spacing w:line="400" w:lineRule="exact"/>
        <w:widowControl/>
        <w:rPr>
          <w:rFonts w:hint="eastAsia" w:ascii="宋体" w:hAnsi="宋体" w:eastAsia="宋体" w:cs="宋体"/>
          <w:b/>
          <w:bCs/>
          <w:sz w:val="24"/>
          <w:szCs w:val="20"/>
          <w:lang w:bidi="ar"/>
        </w:rPr>
        <w:outlineLvl w:val="4"/>
      </w:pPr>
      <w:r>
        <w:rPr>
          <w:rFonts w:hint="eastAsia" w:ascii="宋体" w:hAnsi="宋体" w:eastAsia="宋体" w:cs="宋体"/>
          <w:b/>
          <w:bCs/>
          <w:sz w:val="24"/>
          <w:szCs w:val="20"/>
          <w:lang w:bidi="ar"/>
        </w:rPr>
        <w:t xml:space="preserve">2.培训服务原则</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坚持“政策导向、分层分类、按需施教”原则，培训内容紧密对接政务数据安全实际工作需求，兼顾管理人员、技术人员、业务人员的岗位差异，注重理论与实操结合，确保培训的针对性、实用性与持续性，同时适配盐城市现有项目建设进度与人员学习节奏。</w:t>
      </w:r>
      <w:r/>
    </w:p>
    <w:p>
      <w:pPr>
        <w:ind w:firstLine="482"/>
        <w:spacing w:line="400" w:lineRule="exact"/>
        <w:widowControl/>
        <w:rPr>
          <w:rFonts w:hint="eastAsia" w:ascii="宋体" w:hAnsi="宋体" w:eastAsia="宋体" w:cs="宋体"/>
          <w:b/>
          <w:bCs/>
          <w:sz w:val="24"/>
          <w:szCs w:val="20"/>
          <w:lang w:bidi="ar"/>
        </w:rPr>
        <w:outlineLvl w:val="4"/>
      </w:pPr>
      <w:r>
        <w:rPr>
          <w:rFonts w:hint="eastAsia" w:ascii="宋体" w:hAnsi="宋体" w:eastAsia="宋体" w:cs="宋体"/>
          <w:b/>
          <w:bCs/>
          <w:sz w:val="24"/>
          <w:szCs w:val="20"/>
          <w:lang w:bidi="ar"/>
        </w:rPr>
        <w:t xml:space="preserve">3.培训质量保障</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需组建具备政务数据安全政策解读经验与实操能力的专业讲师团队，提前调研培训对象需求并优化课程设计，配套培训资料，建立课后答疑与复盘机制，定期跟踪培训效果并动态调整课程内容，确保培训质量落地投标人阐述通过哪些方式，手段保障培训质量。</w:t>
      </w:r>
      <w:r/>
    </w:p>
    <w:p>
      <w:pPr>
        <w:ind w:firstLine="482"/>
        <w:spacing w:line="400" w:lineRule="exact"/>
        <w:widowControl/>
        <w:rPr>
          <w:rFonts w:hint="eastAsia" w:ascii="宋体" w:hAnsi="宋体" w:eastAsia="宋体" w:cs="宋体"/>
          <w:b/>
          <w:bCs/>
          <w:sz w:val="24"/>
          <w:szCs w:val="20"/>
          <w:lang w:bidi="ar"/>
        </w:rPr>
        <w:outlineLvl w:val="4"/>
      </w:pPr>
      <w:r>
        <w:rPr>
          <w:rFonts w:hint="eastAsia" w:ascii="宋体" w:hAnsi="宋体" w:eastAsia="宋体" w:cs="宋体"/>
          <w:b/>
          <w:bCs/>
          <w:sz w:val="24"/>
          <w:szCs w:val="20"/>
          <w:lang w:bidi="ar"/>
        </w:rPr>
        <w:t xml:space="preserve">4.培训计划</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需结合项目建设节点，制定分阶段培训计划。项目初期开展政策合规与基础认知培训，中期聚焦产品操作与技能提升培训，后期推进应急处置与进阶应用培训；明确培训对象分层、培训时长、时间安排，确保培训与项目推进无缝衔接。</w:t>
      </w:r>
      <w:r/>
    </w:p>
    <w:p>
      <w:pPr>
        <w:ind w:firstLine="482"/>
        <w:spacing w:line="400" w:lineRule="exact"/>
        <w:widowControl/>
        <w:rPr>
          <w:rFonts w:hint="eastAsia" w:ascii="宋体" w:hAnsi="宋体" w:eastAsia="宋体" w:cs="宋体"/>
          <w:b/>
          <w:bCs/>
          <w:sz w:val="24"/>
          <w:szCs w:val="20"/>
          <w:lang w:bidi="ar"/>
        </w:rPr>
        <w:outlineLvl w:val="4"/>
      </w:pPr>
      <w:r>
        <w:rPr>
          <w:rFonts w:hint="eastAsia" w:ascii="宋体" w:hAnsi="宋体" w:eastAsia="宋体" w:cs="宋体"/>
          <w:b/>
          <w:bCs/>
          <w:sz w:val="24"/>
          <w:szCs w:val="20"/>
          <w:lang w:bidi="ar"/>
        </w:rPr>
        <w:t xml:space="preserve">5.培训内容</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培训内容涵盖数据安全政策解读、数据全生命周期安全管理规范、数据安全应急处置流程、典型案例分析等核心模块；采用“现场+线上”相结合的形式，配套答疑交流等环节，满足不同场景下的学习需求。</w:t>
      </w:r>
      <w:r/>
    </w:p>
    <w:p>
      <w:pPr>
        <w:numPr>
          <w:ilvl w:val="0"/>
          <w:numId w:val="4"/>
        </w:numPr>
        <w:spacing w:line="400" w:lineRule="exact"/>
        <w:widowControl/>
        <w:rPr>
          <w:rFonts w:ascii="Times New Roman" w:hAnsi="Times New Roman" w:eastAsia="宋体"/>
          <w:b/>
          <w:bCs/>
          <w:color w:val="ee0000"/>
          <w:sz w:val="24"/>
          <w:szCs w:val="20"/>
          <w:lang w:bidi="ar"/>
        </w:rPr>
        <w:outlineLvl w:val="3"/>
      </w:pPr>
      <w:r>
        <w:rPr>
          <w:rFonts w:hint="eastAsia" w:ascii="Times New Roman" w:hAnsi="Times New Roman" w:eastAsia="宋体"/>
          <w:b/>
          <w:bCs/>
          <w:sz w:val="24"/>
          <w:szCs w:val="20"/>
          <w:lang w:bidi="ar"/>
        </w:rPr>
        <w:t xml:space="preserve">售后服务方案</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投标人提供科学合理的售后服务方案，方案至少包含：售后服务内容、应急处理预案、售后服务质量保障方案、服务人员稳定性保障方案等内容。</w:t>
      </w:r>
      <w:r/>
    </w:p>
    <w:p>
      <w:pPr>
        <w:ind w:firstLine="482"/>
        <w:spacing w:line="400" w:lineRule="exact"/>
        <w:widowControl/>
        <w:rPr>
          <w:rFonts w:hint="eastAsia" w:ascii="宋体" w:hAnsi="宋体" w:eastAsia="宋体" w:cs="宋体"/>
          <w:b/>
          <w:bCs/>
          <w:sz w:val="24"/>
          <w:szCs w:val="20"/>
          <w:lang w:bidi="ar"/>
        </w:rPr>
        <w:outlineLvl w:val="4"/>
      </w:pPr>
      <w:r>
        <w:rPr>
          <w:rFonts w:hint="eastAsia" w:ascii="宋体" w:hAnsi="宋体" w:eastAsia="宋体" w:cs="宋体"/>
          <w:b/>
          <w:bCs/>
          <w:sz w:val="24"/>
          <w:szCs w:val="20"/>
          <w:lang w:bidi="ar"/>
        </w:rPr>
        <w:t xml:space="preserve">1.售后服务内容</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提供覆盖数据安全防护产品、运营服务全场景的常态化售后服务，包括7x24小时技术咨询与故障排查、定期安全巡检与系统健康评估、数据安全防护产品补丁更新，同步响应政策变动后的合规适配优化服务，协助完成安全审计等相关工作，保障盐城市公共数据共享开放体系安全稳定运行。</w:t>
      </w:r>
      <w:r/>
    </w:p>
    <w:p>
      <w:pPr>
        <w:ind w:firstLine="482"/>
        <w:spacing w:line="400" w:lineRule="exact"/>
        <w:widowControl/>
        <w:rPr>
          <w:rFonts w:hint="eastAsia" w:ascii="宋体" w:hAnsi="宋体" w:eastAsia="宋体" w:cs="宋体"/>
          <w:b/>
          <w:bCs/>
          <w:sz w:val="24"/>
          <w:szCs w:val="20"/>
          <w:lang w:bidi="ar"/>
        </w:rPr>
        <w:outlineLvl w:val="4"/>
      </w:pPr>
      <w:r>
        <w:rPr>
          <w:rFonts w:hint="eastAsia" w:ascii="宋体" w:hAnsi="宋体" w:eastAsia="宋体" w:cs="宋体"/>
          <w:b/>
          <w:bCs/>
          <w:sz w:val="24"/>
          <w:szCs w:val="20"/>
          <w:lang w:bidi="ar"/>
        </w:rPr>
        <w:t xml:space="preserve">2.应急处理预案</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依托专业应急响应团队与企业技术储备，制定分级分类应急处置预案：针对数据泄露、系统入侵、设备故障等突发安全事件，明确处置时效，建立“预警监测-应急启动-分级处置-事件复盘”全流程机制，同步与盐城市现有数据安全运营平台联动，确保突发情况快速可控、损失最小化。</w:t>
      </w:r>
      <w:r/>
    </w:p>
    <w:p>
      <w:pPr>
        <w:ind w:firstLine="482"/>
        <w:spacing w:line="400" w:lineRule="exact"/>
        <w:widowControl/>
        <w:rPr>
          <w:rFonts w:hint="eastAsia" w:ascii="宋体" w:hAnsi="宋体" w:eastAsia="宋体" w:cs="宋体"/>
          <w:b/>
          <w:bCs/>
          <w:sz w:val="24"/>
          <w:szCs w:val="20"/>
          <w:lang w:bidi="ar"/>
        </w:rPr>
        <w:outlineLvl w:val="4"/>
      </w:pPr>
      <w:r>
        <w:rPr>
          <w:rFonts w:hint="eastAsia" w:ascii="宋体" w:hAnsi="宋体" w:eastAsia="宋体" w:cs="宋体"/>
          <w:b/>
          <w:bCs/>
          <w:sz w:val="24"/>
          <w:szCs w:val="20"/>
          <w:lang w:bidi="ar"/>
        </w:rPr>
        <w:t xml:space="preserve">3售后服务质量保障方案</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建立标准化售后服务流程与考核体系，明确服务响应时限、问题解决率等量化指标并定期公示；组建技术专家支撑团队，为复杂问题提供专项解决方案，确保售后服务全程合规、高效、可追溯。投标人阐明通过哪些方式保障售后服务质量。</w:t>
      </w:r>
      <w:r/>
    </w:p>
    <w:p>
      <w:pPr>
        <w:ind w:firstLine="482"/>
        <w:spacing w:line="400" w:lineRule="exact"/>
        <w:widowControl/>
        <w:rPr>
          <w:rFonts w:hint="eastAsia" w:ascii="宋体" w:hAnsi="宋体" w:eastAsia="宋体" w:cs="宋体"/>
          <w:b/>
          <w:bCs/>
          <w:sz w:val="24"/>
          <w:szCs w:val="20"/>
          <w:lang w:bidi="ar"/>
        </w:rPr>
        <w:outlineLvl w:val="4"/>
      </w:pPr>
      <w:r>
        <w:rPr>
          <w:rFonts w:hint="eastAsia" w:ascii="宋体" w:hAnsi="宋体" w:eastAsia="宋体" w:cs="宋体"/>
          <w:b/>
          <w:bCs/>
          <w:sz w:val="24"/>
          <w:szCs w:val="20"/>
          <w:lang w:bidi="ar"/>
        </w:rPr>
        <w:t xml:space="preserve">4.服务人员稳定性</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组建专属售后服务团队，明确核心服务人员任职期限承诺；核心岗位均配备替补人员，提前完成项目业务、技术细节及政策要求的交接培训，确保服务团队对盐城市政务数据安全项目的熟悉度不中断、服务质量不打折。</w:t>
      </w:r>
      <w:r/>
    </w:p>
    <w:p>
      <w:pPr>
        <w:ind w:firstLine="482"/>
        <w:spacing w:line="560" w:lineRule="exact"/>
        <w:widowControl/>
        <w:rPr>
          <w:rFonts w:hint="eastAsia" w:ascii="宋体" w:hAnsi="宋体" w:eastAsia="宋体" w:cs="宋体"/>
          <w:b/>
          <w:bCs/>
          <w:sz w:val="24"/>
          <w:szCs w:val="20"/>
          <w:lang w:bidi="ar"/>
        </w:rPr>
        <w:outlineLvl w:val="2"/>
      </w:pPr>
      <w:r>
        <w:rPr>
          <w:rFonts w:hint="eastAsia" w:ascii="宋体" w:hAnsi="宋体" w:eastAsia="宋体" w:cs="宋体"/>
          <w:b/>
          <w:bCs/>
          <w:sz w:val="24"/>
          <w:szCs w:val="20"/>
          <w:lang w:bidi="ar"/>
        </w:rPr>
        <w:t xml:space="preserve">四、项目演示</w:t>
      </w:r>
      <w:r/>
    </w:p>
    <w:p>
      <w:pPr>
        <w:ind w:firstLine="482"/>
        <w:spacing w:line="400" w:lineRule="exact"/>
        <w:widowControl/>
        <w:rPr>
          <w:rFonts w:ascii="Times New Roman" w:hAnsi="Times New Roman" w:eastAsia="宋体"/>
          <w:b/>
          <w:bCs/>
          <w:sz w:val="24"/>
          <w:szCs w:val="20"/>
          <w:lang w:bidi="ar"/>
        </w:rPr>
        <w:outlineLvl w:val="3"/>
      </w:pPr>
      <w:r>
        <w:rPr>
          <w:rFonts w:hint="eastAsia" w:ascii="Times New Roman" w:hAnsi="Times New Roman" w:eastAsia="宋体"/>
          <w:b/>
          <w:bCs/>
          <w:sz w:val="24"/>
          <w:szCs w:val="20"/>
          <w:lang w:bidi="ar"/>
        </w:rPr>
        <w:t xml:space="preserve">（一）演示内容</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投标人应根据采购需求和本项目实际，提供相应的演示视频，包括但不限于以下内容：</w:t>
      </w:r>
      <w:r/>
    </w:p>
    <w:p>
      <w:pPr>
        <w:ind w:firstLine="482"/>
        <w:spacing w:line="400" w:lineRule="exact"/>
        <w:widowControl/>
        <w:rPr>
          <w:rFonts w:hint="eastAsia" w:ascii="宋体" w:hAnsi="宋体" w:eastAsia="宋体" w:cs="宋体"/>
          <w:b/>
          <w:bCs/>
          <w:sz w:val="24"/>
          <w:szCs w:val="20"/>
          <w:lang w:bidi="ar"/>
        </w:rPr>
        <w:outlineLvl w:val="4"/>
      </w:pPr>
      <w:r>
        <w:rPr>
          <w:rFonts w:hint="eastAsia" w:ascii="宋体" w:hAnsi="宋体" w:eastAsia="宋体" w:cs="宋体"/>
          <w:b/>
          <w:bCs/>
          <w:sz w:val="24"/>
          <w:szCs w:val="20"/>
          <w:lang w:bidi="ar"/>
        </w:rPr>
        <w:t xml:space="preserve">1.</w:t>
      </w:r>
      <w:r>
        <w:rPr>
          <w:rFonts w:hint="eastAsia" w:ascii="Times New Roman" w:hAnsi="Times New Roman" w:eastAsia="宋体"/>
          <w:b/>
          <w:bCs/>
          <w:sz w:val="24"/>
          <w:szCs w:val="20"/>
          <w:lang w:bidi="ar"/>
        </w:rPr>
        <w:t xml:space="preserve">演示</w:t>
      </w:r>
      <w:r>
        <w:rPr>
          <w:rFonts w:hint="eastAsia" w:ascii="宋体" w:hAnsi="宋体" w:eastAsia="宋体" w:cs="宋体"/>
          <w:b/>
          <w:bCs/>
          <w:sz w:val="24"/>
          <w:szCs w:val="20"/>
          <w:lang w:bidi="ar"/>
        </w:rPr>
        <w:t xml:space="preserve">数据溯源分析功能</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（1）支持对敏感信息泄露事件或异常数据操作事件进行溯源分析</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（2）支持敏感数据的溯源管理</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（3）支持数据泄露场景自定义规则模型管理包括对数据操作行为审计、数据违规操作、敏感数据泄露、高频访问、越权访问、非工作时间访问等内容</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（4）支持基于异常行为的事件日志关联分析功能，具备异常日志数据的溯源分析能力；</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（5）支持通过可视化方式，回溯主机操作行为，可通过时间轴快速调整，进行指令操作查看。</w:t>
      </w:r>
      <w:r/>
    </w:p>
    <w:p>
      <w:pPr>
        <w:ind w:firstLine="482"/>
        <w:spacing w:line="400" w:lineRule="exact"/>
        <w:widowControl/>
        <w:rPr>
          <w:rFonts w:ascii="Times New Roman" w:hAnsi="Times New Roman" w:eastAsia="宋体"/>
          <w:b/>
          <w:bCs/>
          <w:sz w:val="24"/>
          <w:szCs w:val="20"/>
          <w:lang w:bidi="ar"/>
        </w:rPr>
        <w:outlineLvl w:val="4"/>
      </w:pPr>
      <w:r>
        <w:rPr>
          <w:rFonts w:hint="eastAsia" w:ascii="Times New Roman" w:hAnsi="Times New Roman" w:eastAsia="宋体"/>
          <w:b/>
          <w:bCs/>
          <w:sz w:val="24"/>
          <w:szCs w:val="20"/>
          <w:lang w:bidi="ar"/>
        </w:rPr>
        <w:t xml:space="preserve">2.演示数据分类分级功能</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（1）工具支持Oracle、SQLServer、MySQL、Sybase、DB2等主流数据库类型，以及高斯、达梦、神通、金仓等国产数据库和Hive、HBase、HDFS、Teradata、kudu等大数据关键组件；</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（2）支持内置敏感数据模板；</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（3）支持敏感数据类型和特征的自定义添加和维护；</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（4）演示敏感数据分级分类策略管理能力，包括创建、删除、修改等操作；</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（5）支持按照模板进行数据自动化分类分级；</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（6）支持通过打造分类分级智能体，进行智能化字段、表分类分级能力。</w:t>
      </w:r>
      <w:r/>
    </w:p>
    <w:p>
      <w:pPr>
        <w:ind w:firstLine="482"/>
        <w:spacing w:line="400" w:lineRule="exact"/>
        <w:widowControl/>
        <w:rPr>
          <w:rFonts w:ascii="Times New Roman" w:hAnsi="Times New Roman" w:eastAsia="宋体"/>
          <w:b/>
          <w:bCs/>
          <w:sz w:val="24"/>
          <w:szCs w:val="20"/>
          <w:lang w:bidi="ar"/>
        </w:rPr>
        <w:outlineLvl w:val="4"/>
      </w:pPr>
      <w:r>
        <w:rPr>
          <w:rFonts w:hint="eastAsia" w:ascii="Times New Roman" w:hAnsi="Times New Roman" w:eastAsia="宋体"/>
          <w:b/>
          <w:bCs/>
          <w:sz w:val="24"/>
          <w:szCs w:val="20"/>
          <w:lang w:bidi="ar"/>
        </w:rPr>
        <w:t xml:space="preserve">3.演示数据水印功能</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（1）演示数据溯源和文件溯源两种方式，一旦发生数据泄露，可手动导入文件形式溯源精准溯源到操作数据用户身份和渠道；</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2）演示具备独立的水印生成列表记录，包括源资产、源模式、源表、目标资产、目标文件、使用单位、使用人、用途、时间等，支持多维度检索，方便查询溯源结果，提高数据共享使用中的安全性和可追溯能力；</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（3）演示水印方案能力，支持添加和编辑数据水印信息，添加水印信息可在数据水印任务模块调用；</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（4）支持添加多节点水印信息，可通过水印回溯数据传输路径。</w:t>
      </w:r>
      <w:r/>
    </w:p>
    <w:p>
      <w:pPr>
        <w:ind w:firstLine="482"/>
        <w:spacing w:line="400" w:lineRule="exact"/>
        <w:widowControl/>
        <w:rPr>
          <w:rFonts w:ascii="Times New Roman" w:hAnsi="Times New Roman" w:eastAsia="宋体"/>
          <w:b/>
          <w:bCs/>
          <w:sz w:val="24"/>
          <w:szCs w:val="20"/>
          <w:lang w:bidi="ar"/>
        </w:rPr>
        <w:outlineLvl w:val="3"/>
      </w:pPr>
      <w:r>
        <w:rPr>
          <w:rFonts w:hint="eastAsia" w:ascii="Times New Roman" w:hAnsi="Times New Roman" w:eastAsia="宋体"/>
          <w:b/>
          <w:bCs/>
          <w:sz w:val="24"/>
          <w:szCs w:val="20"/>
          <w:lang w:bidi="ar"/>
        </w:rPr>
        <w:t xml:space="preserve">（二）演示要求</w:t>
      </w:r>
      <w:r/>
    </w:p>
    <w:p>
      <w:pPr>
        <w:ind w:firstLine="480"/>
        <w:spacing w:line="560" w:lineRule="exact"/>
        <w:widowControl/>
        <w:rPr>
          <w:rFonts w:hint="eastAsia" w:ascii="宋体" w:hAnsi="宋体" w:eastAsia="宋体" w:cs="宋体"/>
          <w:sz w:val="24"/>
          <w:szCs w:val="20"/>
          <w:lang w:bidi="ar"/>
        </w:rPr>
      </w:pPr>
      <w:r/>
      <w:bookmarkStart w:id="135" w:name="OLE_LINK13"/>
      <w:r>
        <w:rPr>
          <w:rFonts w:hint="eastAsia" w:ascii="宋体" w:hAnsi="宋体" w:eastAsia="宋体" w:cs="宋体"/>
          <w:sz w:val="24"/>
          <w:szCs w:val="20"/>
          <w:lang w:bidi="ar"/>
        </w:rPr>
        <w:t xml:space="preserve">投标人需按照以下要求提供演示视频文件：视频文件的格式为*.mp4或*.avi，投标人须将视频文件分段压缩为*.zip文件上传（单个文件不得大于50M，所有文件总共不得大于300M），视频时长不超过20分钟。</w:t>
      </w:r>
      <w:bookmarkEnd w:id="135"/>
      <w:r/>
      <w:r/>
    </w:p>
    <w:p>
      <w:pPr>
        <w:ind w:firstLine="482"/>
        <w:spacing w:line="560" w:lineRule="exact"/>
        <w:widowControl/>
        <w:rPr>
          <w:rFonts w:hint="eastAsia" w:ascii="宋体" w:hAnsi="宋体" w:eastAsia="宋体" w:cs="宋体"/>
          <w:b/>
          <w:bCs/>
          <w:sz w:val="24"/>
          <w:szCs w:val="20"/>
          <w:lang w:bidi="ar"/>
        </w:rPr>
        <w:outlineLvl w:val="2"/>
      </w:pPr>
      <w:r>
        <w:rPr>
          <w:rFonts w:hint="eastAsia" w:ascii="宋体" w:hAnsi="宋体" w:eastAsia="宋体" w:cs="宋体"/>
          <w:b/>
          <w:bCs/>
          <w:sz w:val="24"/>
          <w:szCs w:val="20"/>
          <w:lang w:bidi="ar"/>
        </w:rPr>
        <w:t xml:space="preserve">五、企业实力</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为了择优选择中标单位，投标人具备以下证书的优先：</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1.投标人具有有效期内的信息技术服务管理体系认证证书、隐私信息管理体系认证证书、信息安全管理体系</w:t>
      </w:r>
      <w:r>
        <w:rPr>
          <w:rFonts w:hint="eastAsia" w:ascii="宋体" w:hAnsi="宋体" w:eastAsia="宋体" w:cs="宋体"/>
          <w:sz w:val="24"/>
          <w:szCs w:val="20"/>
          <w:lang w:val="en-US" w:eastAsia="zh-CN" w:bidi="ar"/>
        </w:rPr>
        <w:t xml:space="preserve">认证</w:t>
      </w:r>
      <w:r>
        <w:rPr>
          <w:rFonts w:hint="eastAsia" w:ascii="宋体" w:hAnsi="宋体" w:eastAsia="宋体" w:cs="宋体"/>
          <w:sz w:val="24"/>
          <w:szCs w:val="20"/>
          <w:lang w:bidi="ar"/>
        </w:rPr>
        <w:t xml:space="preserve">证书的优先。</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2.投标人具有DSMM数据安全能力成熟度认证证书的优先。</w:t>
      </w:r>
      <w:r/>
    </w:p>
    <w:p>
      <w:pPr>
        <w:ind w:firstLine="482"/>
        <w:spacing w:line="560" w:lineRule="exact"/>
        <w:widowControl/>
        <w:rPr>
          <w:rFonts w:hint="eastAsia" w:ascii="宋体" w:hAnsi="宋体" w:eastAsia="宋体" w:cs="宋体"/>
          <w:b/>
          <w:bCs/>
          <w:sz w:val="24"/>
          <w:szCs w:val="20"/>
          <w:lang w:bidi="ar"/>
        </w:rPr>
        <w:outlineLvl w:val="2"/>
      </w:pPr>
      <w:r>
        <w:rPr>
          <w:rFonts w:hint="eastAsia" w:ascii="宋体" w:hAnsi="宋体" w:eastAsia="宋体" w:cs="宋体"/>
          <w:b/>
          <w:bCs/>
          <w:sz w:val="24"/>
          <w:szCs w:val="20"/>
          <w:lang w:bidi="ar"/>
        </w:rPr>
        <w:t xml:space="preserve">六、团队能力</w:t>
      </w:r>
      <w:r/>
    </w:p>
    <w:p>
      <w:pPr>
        <w:ind w:firstLine="480"/>
        <w:spacing w:line="560" w:lineRule="exact"/>
        <w:widowControl/>
        <w:rPr>
          <w:rFonts w:hint="eastAsia" w:ascii="宋体" w:hAnsi="宋体" w:eastAsia="宋体" w:cs="宋体"/>
          <w:bCs/>
          <w:sz w:val="24"/>
          <w:szCs w:val="20"/>
        </w:rPr>
      </w:pPr>
      <w:r>
        <w:rPr>
          <w:rFonts w:hint="eastAsia" w:ascii="宋体" w:hAnsi="宋体" w:eastAsia="宋体" w:cs="宋体"/>
          <w:bCs/>
          <w:sz w:val="24"/>
          <w:szCs w:val="20"/>
        </w:rPr>
        <w:t xml:space="preserve">投标人需为本项目配备项目组并按照不同工作职责分别配置项目经理、技术负责人及项目组成员。成员人数不少于8人，其中，项目经理1名，技术负责人1名。</w:t>
      </w:r>
      <w:r/>
    </w:p>
    <w:p>
      <w:pPr>
        <w:ind w:firstLine="480"/>
        <w:spacing w:line="560" w:lineRule="exact"/>
        <w:widowControl/>
        <w:rPr>
          <w:rFonts w:hint="eastAsia" w:ascii="宋体" w:hAnsi="宋体" w:eastAsia="宋体" w:cs="宋体"/>
          <w:bCs/>
          <w:sz w:val="24"/>
          <w:szCs w:val="20"/>
        </w:rPr>
      </w:pPr>
      <w:r>
        <w:rPr>
          <w:rFonts w:hint="eastAsia" w:ascii="宋体" w:hAnsi="宋体" w:eastAsia="宋体" w:cs="宋体"/>
          <w:bCs/>
          <w:sz w:val="24"/>
          <w:szCs w:val="20"/>
          <w:lang w:val="en-US" w:eastAsia="zh-CN"/>
        </w:rPr>
        <w:t xml:space="preserve">1.</w:t>
      </w:r>
      <w:r>
        <w:rPr>
          <w:rFonts w:hint="eastAsia" w:ascii="宋体" w:hAnsi="宋体" w:eastAsia="宋体" w:cs="宋体"/>
          <w:bCs/>
          <w:sz w:val="24"/>
          <w:szCs w:val="20"/>
        </w:rPr>
        <w:t xml:space="preserve">项目经理：</w:t>
      </w:r>
      <w:r>
        <w:rPr>
          <w:rFonts w:hint="eastAsia" w:ascii="宋体" w:hAnsi="宋体" w:eastAsia="宋体" w:cs="宋体"/>
          <w:bCs/>
          <w:sz w:val="24"/>
          <w:szCs w:val="20"/>
          <w:lang w:val="en-US" w:eastAsia="zh-CN"/>
        </w:rPr>
        <w:t xml:space="preserve">具有</w:t>
      </w:r>
      <w:r>
        <w:rPr>
          <w:rFonts w:hint="eastAsia" w:ascii="宋体" w:hAnsi="宋体" w:eastAsia="宋体" w:cs="宋体"/>
          <w:bCs/>
          <w:sz w:val="24"/>
          <w:szCs w:val="20"/>
        </w:rPr>
        <w:t xml:space="preserve">人力资源和社会保障部、工业和信息化部批准颁发的信息系统项目管理师、系统架构设计师证书</w:t>
      </w:r>
      <w:r>
        <w:rPr>
          <w:rFonts w:hint="eastAsia" w:ascii="宋体" w:hAnsi="宋体" w:eastAsia="宋体" w:cs="宋体"/>
          <w:bCs/>
          <w:sz w:val="24"/>
          <w:szCs w:val="20"/>
          <w:lang w:val="en-US" w:eastAsia="zh-CN"/>
        </w:rPr>
        <w:t xml:space="preserve">的优先</w:t>
      </w:r>
      <w:r>
        <w:rPr>
          <w:rFonts w:hint="eastAsia" w:ascii="宋体" w:hAnsi="宋体" w:eastAsia="宋体" w:cs="宋体"/>
          <w:bCs/>
          <w:sz w:val="24"/>
          <w:szCs w:val="20"/>
        </w:rPr>
        <w:t xml:space="preserve">。</w:t>
      </w:r>
      <w:r/>
    </w:p>
    <w:p>
      <w:pPr>
        <w:ind w:firstLine="480"/>
        <w:spacing w:line="560" w:lineRule="exact"/>
        <w:widowControl/>
        <w:rPr>
          <w:rFonts w:hint="eastAsia" w:ascii="宋体" w:hAnsi="宋体" w:eastAsia="宋体" w:cs="宋体"/>
          <w:bCs/>
          <w:sz w:val="24"/>
          <w:szCs w:val="20"/>
        </w:rPr>
      </w:pPr>
      <w:r>
        <w:rPr>
          <w:rFonts w:hint="eastAsia" w:ascii="宋体" w:hAnsi="宋体" w:eastAsia="宋体" w:cs="宋体"/>
          <w:bCs/>
          <w:sz w:val="24"/>
          <w:szCs w:val="20"/>
          <w:lang w:val="en-US" w:eastAsia="zh-CN"/>
        </w:rPr>
        <w:t xml:space="preserve">2.</w:t>
      </w:r>
      <w:r>
        <w:rPr>
          <w:rFonts w:hint="eastAsia" w:ascii="宋体" w:hAnsi="宋体" w:eastAsia="宋体" w:cs="宋体"/>
          <w:bCs/>
          <w:sz w:val="24"/>
          <w:szCs w:val="20"/>
        </w:rPr>
        <w:t xml:space="preserve">技术负责人：具有人力资源和社会保障部、工业和信息化部批准颁发的系统架构设计师、系统分析师证书</w:t>
      </w:r>
      <w:r>
        <w:rPr>
          <w:rFonts w:hint="eastAsia" w:ascii="宋体" w:hAnsi="宋体" w:eastAsia="宋体" w:cs="宋体"/>
          <w:bCs/>
          <w:sz w:val="24"/>
          <w:szCs w:val="20"/>
          <w:lang w:val="en-US" w:eastAsia="zh-CN"/>
        </w:rPr>
        <w:t xml:space="preserve">的优先</w:t>
      </w:r>
      <w:r>
        <w:rPr>
          <w:rFonts w:hint="eastAsia" w:ascii="宋体" w:hAnsi="宋体" w:eastAsia="宋体" w:cs="宋体"/>
          <w:bCs/>
          <w:sz w:val="24"/>
          <w:szCs w:val="20"/>
        </w:rPr>
        <w:t xml:space="preserve">。</w:t>
      </w:r>
      <w:r/>
    </w:p>
    <w:p>
      <w:pPr>
        <w:ind w:firstLine="480"/>
        <w:spacing w:line="560" w:lineRule="exact"/>
        <w:widowControl/>
        <w:rPr>
          <w:rFonts w:hint="eastAsia" w:ascii="宋体" w:hAnsi="宋体" w:eastAsia="宋体" w:cs="宋体"/>
          <w:bCs/>
          <w:sz w:val="24"/>
          <w:szCs w:val="20"/>
        </w:rPr>
      </w:pPr>
      <w:r>
        <w:rPr>
          <w:rFonts w:hint="eastAsia" w:ascii="宋体" w:hAnsi="宋体" w:eastAsia="宋体" w:cs="宋体"/>
          <w:bCs/>
          <w:sz w:val="24"/>
          <w:szCs w:val="20"/>
          <w:lang w:val="en-US" w:eastAsia="zh-CN"/>
        </w:rPr>
        <w:t xml:space="preserve">3.</w:t>
      </w:r>
      <w:r>
        <w:rPr>
          <w:rFonts w:hint="eastAsia" w:ascii="宋体" w:hAnsi="宋体" w:eastAsia="宋体" w:cs="宋体"/>
          <w:bCs/>
          <w:sz w:val="24"/>
          <w:szCs w:val="20"/>
        </w:rPr>
        <w:t xml:space="preserve">项目组成员（除项目经理、技术负责人以外）：</w:t>
      </w:r>
      <w:r>
        <w:rPr>
          <w:rFonts w:hint="eastAsia" w:ascii="宋体" w:hAnsi="宋体" w:eastAsia="宋体" w:cs="宋体"/>
          <w:bCs/>
          <w:sz w:val="24"/>
          <w:szCs w:val="20"/>
          <w:lang w:val="en-US" w:eastAsia="zh-CN"/>
        </w:rPr>
        <w:t xml:space="preserve">具有</w:t>
      </w:r>
      <w:r>
        <w:rPr>
          <w:rFonts w:hint="eastAsia" w:ascii="宋体" w:hAnsi="宋体" w:eastAsia="宋体" w:cs="宋体"/>
          <w:bCs/>
          <w:sz w:val="24"/>
          <w:szCs w:val="20"/>
        </w:rPr>
        <w:t xml:space="preserve">人力资源和社会保障部、工业和信息化部批准颁发的系统架构设计师、系统规划与管理师、软件评测师、网络规划设计师、系统集成项目管理工程师</w:t>
      </w:r>
      <w:r>
        <w:rPr>
          <w:rFonts w:hint="eastAsia" w:ascii="宋体" w:hAnsi="宋体" w:eastAsia="宋体" w:cs="宋体"/>
          <w:bCs/>
          <w:sz w:val="24"/>
          <w:szCs w:val="20"/>
          <w:lang w:val="en-US" w:eastAsia="zh-CN"/>
        </w:rPr>
        <w:t xml:space="preserve">证书</w:t>
      </w:r>
      <w:r>
        <w:rPr>
          <w:rFonts w:hint="eastAsia" w:ascii="宋体" w:hAnsi="宋体" w:eastAsia="宋体" w:cs="宋体"/>
          <w:bCs/>
          <w:sz w:val="24"/>
          <w:szCs w:val="20"/>
          <w:lang w:eastAsia="zh-CN"/>
        </w:rPr>
        <w:t xml:space="preserve">，</w:t>
      </w:r>
      <w:r>
        <w:rPr>
          <w:rFonts w:hint="eastAsia" w:ascii="宋体" w:hAnsi="宋体" w:eastAsia="宋体" w:cs="宋体"/>
          <w:bCs/>
          <w:sz w:val="24"/>
          <w:szCs w:val="20"/>
        </w:rPr>
        <w:t xml:space="preserve">人力资源和社会保障部门颁发的电子信息工程专业高级工程师职称证书</w:t>
      </w:r>
      <w:r>
        <w:rPr>
          <w:rFonts w:hint="eastAsia" w:ascii="宋体" w:hAnsi="宋体" w:eastAsia="宋体" w:cs="宋体"/>
          <w:bCs/>
          <w:sz w:val="24"/>
          <w:szCs w:val="20"/>
          <w:lang w:val="en-US" w:eastAsia="zh-CN"/>
        </w:rPr>
        <w:t xml:space="preserve">的优先</w:t>
      </w:r>
      <w:r>
        <w:rPr>
          <w:rFonts w:hint="eastAsia" w:ascii="宋体" w:hAnsi="宋体" w:eastAsia="宋体" w:cs="宋体"/>
          <w:bCs/>
          <w:sz w:val="24"/>
          <w:szCs w:val="20"/>
        </w:rPr>
        <w:t xml:space="preserve">。</w:t>
      </w:r>
      <w:r/>
    </w:p>
    <w:p>
      <w:pPr>
        <w:ind w:firstLine="482"/>
        <w:spacing w:line="560" w:lineRule="exact"/>
        <w:widowControl/>
        <w:rPr>
          <w:rFonts w:hint="eastAsia" w:ascii="宋体" w:hAnsi="宋体" w:eastAsia="宋体" w:cs="宋体"/>
          <w:b/>
          <w:bCs/>
          <w:sz w:val="24"/>
          <w:szCs w:val="20"/>
          <w:lang w:bidi="ar"/>
        </w:rPr>
        <w:outlineLvl w:val="2"/>
      </w:pPr>
      <w:r>
        <w:rPr>
          <w:rFonts w:hint="eastAsia" w:ascii="宋体" w:hAnsi="宋体" w:eastAsia="宋体" w:cs="宋体"/>
          <w:b/>
          <w:bCs/>
          <w:sz w:val="24"/>
          <w:szCs w:val="20"/>
          <w:lang w:bidi="ar"/>
        </w:rPr>
        <w:t xml:space="preserve">七、业绩</w:t>
      </w:r>
      <w:r/>
    </w:p>
    <w:p>
      <w:pPr>
        <w:ind w:firstLine="480"/>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为了确保项目的顺利实施，投标人需具有类似项目的相关承接经验，</w:t>
      </w:r>
      <w:r>
        <w:rPr>
          <w:rFonts w:hint="eastAsia" w:ascii="宋体" w:hAnsi="宋体" w:eastAsia="宋体" w:cs="宋体"/>
          <w:sz w:val="24"/>
          <w:szCs w:val="20"/>
          <w:lang w:val="en-US" w:eastAsia="zh-CN" w:bidi="ar"/>
        </w:rPr>
        <w:t xml:space="preserve">投标人</w:t>
      </w:r>
      <w:r>
        <w:rPr>
          <w:rFonts w:hint="eastAsia" w:ascii="宋体" w:hAnsi="宋体" w:eastAsia="宋体" w:cs="宋体"/>
          <w:sz w:val="24"/>
          <w:szCs w:val="20"/>
          <w:lang w:bidi="ar"/>
        </w:rPr>
        <w:t xml:space="preserve">自2022年1月1日（以合同签订时间为准）</w:t>
      </w:r>
      <w:r>
        <w:rPr>
          <w:rFonts w:hint="eastAsia" w:ascii="宋体" w:hAnsi="宋体" w:eastAsia="宋体" w:cs="宋体"/>
          <w:sz w:val="24"/>
          <w:szCs w:val="20"/>
          <w:lang w:eastAsia="zh-CN" w:bidi="ar"/>
        </w:rPr>
        <w:t xml:space="preserve">，</w:t>
      </w:r>
      <w:r>
        <w:rPr>
          <w:rFonts w:hint="eastAsia" w:ascii="宋体" w:hAnsi="宋体" w:eastAsia="宋体" w:cs="宋体"/>
          <w:sz w:val="24"/>
          <w:szCs w:val="20"/>
          <w:lang w:val="en-US" w:eastAsia="zh-CN" w:bidi="ar"/>
        </w:rPr>
        <w:t xml:space="preserve">承担过类似项目业绩（类似项目业绩是指</w:t>
      </w:r>
      <w:r>
        <w:rPr>
          <w:rFonts w:hint="eastAsia" w:ascii="宋体" w:hAnsi="宋体" w:eastAsia="宋体" w:cs="宋体"/>
          <w:sz w:val="24"/>
          <w:szCs w:val="20"/>
          <w:lang w:bidi="ar"/>
        </w:rPr>
        <w:t xml:space="preserve">数据安全类项目</w:t>
      </w:r>
      <w:r>
        <w:rPr>
          <w:rFonts w:hint="eastAsia" w:ascii="宋体" w:hAnsi="宋体" w:eastAsia="宋体" w:cs="宋体"/>
          <w:sz w:val="24"/>
          <w:szCs w:val="20"/>
          <w:lang w:val="en-US" w:eastAsia="zh-CN" w:bidi="ar"/>
        </w:rPr>
        <w:t xml:space="preserve">）</w:t>
      </w:r>
      <w:r>
        <w:rPr>
          <w:rFonts w:hint="eastAsia" w:ascii="宋体" w:hAnsi="宋体" w:eastAsia="宋体" w:cs="宋体"/>
          <w:sz w:val="24"/>
          <w:szCs w:val="20"/>
          <w:lang w:bidi="ar"/>
        </w:rPr>
        <w:t xml:space="preserve">的优先。</w:t>
      </w:r>
      <w:r/>
    </w:p>
    <w:p>
      <w:pPr>
        <w:ind w:firstLine="482"/>
        <w:spacing w:line="560" w:lineRule="exact"/>
        <w:widowControl/>
        <w:rPr>
          <w:rFonts w:hint="eastAsia" w:ascii="宋体" w:hAnsi="宋体" w:eastAsia="宋体" w:cs="宋体"/>
          <w:b/>
          <w:bCs/>
          <w:sz w:val="24"/>
          <w:szCs w:val="20"/>
        </w:rPr>
        <w:outlineLvl w:val="2"/>
      </w:pPr>
      <w:r>
        <w:rPr>
          <w:rFonts w:hint="eastAsia" w:ascii="宋体" w:hAnsi="宋体" w:eastAsia="宋体" w:cs="宋体"/>
          <w:b/>
          <w:bCs/>
          <w:sz w:val="24"/>
          <w:szCs w:val="20"/>
        </w:rPr>
        <w:t xml:space="preserve">八、采购标的对应的中小企业划分标准所属行业一览表</w:t>
      </w:r>
      <w:r/>
    </w:p>
    <w:tbl>
      <w:tblPr>
        <w:tblStyle w:val="741"/>
        <w:tblW w:w="8730" w:type="dxa"/>
        <w:tblInd w:w="2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3836"/>
        <w:gridCol w:w="3987"/>
      </w:tblGrid>
      <w:tr>
        <w:trPr>
          <w:trHeight w:val="789"/>
        </w:trPr>
        <w:tc>
          <w:tcPr>
            <w:tcW w:w="907" w:type="dxa"/>
            <w:vAlign w:val="center"/>
            <w:textDirection w:val="lrTb"/>
            <w:noWrap w:val="false"/>
          </w:tcPr>
          <w:p>
            <w:pPr>
              <w:jc w:val="center"/>
              <w:spacing w:line="560" w:lineRule="exact"/>
              <w:widowControl/>
              <w:rPr>
                <w:rFonts w:ascii="宋体" w:hAnsi="宋体" w:eastAsia="Arial" w:cs="宋体"/>
                <w:b/>
                <w:bCs/>
                <w:sz w:val="24"/>
                <w:szCs w:val="20"/>
              </w:rPr>
            </w:pPr>
            <w:r>
              <w:rPr>
                <w:rFonts w:hint="eastAsia" w:ascii="宋体" w:hAnsi="宋体" w:eastAsia="宋体" w:cs="宋体"/>
                <w:b/>
                <w:bCs/>
                <w:sz w:val="24"/>
                <w:szCs w:val="20"/>
              </w:rPr>
              <w:t xml:space="preserve">序号</w:t>
            </w:r>
            <w:r/>
          </w:p>
        </w:tc>
        <w:tc>
          <w:tcPr>
            <w:tcW w:w="3836" w:type="dxa"/>
            <w:vAlign w:val="center"/>
            <w:textDirection w:val="lrTb"/>
            <w:noWrap w:val="false"/>
          </w:tcPr>
          <w:p>
            <w:pPr>
              <w:jc w:val="center"/>
              <w:spacing w:line="560" w:lineRule="exact"/>
              <w:widowControl/>
              <w:rPr>
                <w:rFonts w:ascii="宋体" w:hAnsi="宋体" w:eastAsia="Arial" w:cs="宋体"/>
                <w:b/>
                <w:bCs/>
                <w:sz w:val="24"/>
                <w:szCs w:val="20"/>
              </w:rPr>
            </w:pPr>
            <w:r>
              <w:rPr>
                <w:rFonts w:hint="eastAsia" w:ascii="宋体" w:hAnsi="宋体" w:eastAsia="宋体" w:cs="宋体"/>
                <w:b/>
                <w:bCs/>
                <w:sz w:val="24"/>
                <w:szCs w:val="20"/>
              </w:rPr>
              <w:t xml:space="preserve">采购标的</w:t>
            </w:r>
            <w:r/>
          </w:p>
        </w:tc>
        <w:tc>
          <w:tcPr>
            <w:tcW w:w="3987" w:type="dxa"/>
            <w:vAlign w:val="center"/>
            <w:textDirection w:val="lrTb"/>
            <w:noWrap w:val="false"/>
          </w:tcPr>
          <w:p>
            <w:pPr>
              <w:jc w:val="center"/>
              <w:spacing w:line="560" w:lineRule="exact"/>
              <w:widowControl/>
              <w:rPr>
                <w:rFonts w:ascii="宋体" w:hAnsi="宋体" w:eastAsia="Arial" w:cs="宋体"/>
                <w:b/>
                <w:bCs/>
                <w:sz w:val="24"/>
                <w:szCs w:val="20"/>
              </w:rPr>
            </w:pPr>
            <w:r>
              <w:rPr>
                <w:rFonts w:hint="eastAsia" w:ascii="宋体" w:hAnsi="宋体" w:eastAsia="宋体" w:cs="宋体"/>
                <w:b/>
                <w:bCs/>
                <w:sz w:val="24"/>
                <w:szCs w:val="20"/>
              </w:rPr>
              <w:t xml:space="preserve">对应中小企业划分标准所属行业</w:t>
            </w:r>
            <w:r/>
          </w:p>
        </w:tc>
      </w:tr>
      <w:tr>
        <w:trPr>
          <w:trHeight w:val="843"/>
        </w:trPr>
        <w:tc>
          <w:tcPr>
            <w:tcW w:w="907" w:type="dxa"/>
            <w:vAlign w:val="center"/>
            <w:textDirection w:val="lrTb"/>
            <w:noWrap w:val="false"/>
          </w:tcPr>
          <w:p>
            <w:pPr>
              <w:jc w:val="center"/>
              <w:spacing w:line="560" w:lineRule="exact"/>
              <w:widowControl/>
              <w:rPr>
                <w:rFonts w:ascii="宋体" w:hAnsi="宋体" w:eastAsia="Arial" w:cs="宋体"/>
                <w:sz w:val="24"/>
                <w:szCs w:val="20"/>
              </w:rPr>
            </w:pPr>
            <w:r>
              <w:rPr>
                <w:rFonts w:hint="eastAsia" w:ascii="宋体" w:hAnsi="宋体" w:eastAsia="Arial" w:cs="宋体"/>
                <w:sz w:val="24"/>
                <w:szCs w:val="20"/>
              </w:rPr>
              <w:t xml:space="preserve">1</w:t>
            </w:r>
            <w:r/>
          </w:p>
        </w:tc>
        <w:tc>
          <w:tcPr>
            <w:tcW w:w="3836" w:type="dxa"/>
            <w:vAlign w:val="center"/>
            <w:textDirection w:val="lrTb"/>
            <w:noWrap w:val="false"/>
          </w:tcPr>
          <w:p>
            <w:pPr>
              <w:jc w:val="center"/>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盐城市“公共数据平台”数据安全</w:t>
            </w:r>
            <w:r/>
          </w:p>
          <w:p>
            <w:pPr>
              <w:jc w:val="center"/>
              <w:spacing w:line="560" w:lineRule="exact"/>
              <w:widowControl/>
              <w:rPr>
                <w:rFonts w:ascii="宋体" w:hAnsi="宋体" w:eastAsia="Arial" w:cs="宋体"/>
                <w:sz w:val="24"/>
                <w:szCs w:val="20"/>
              </w:rPr>
            </w:pPr>
            <w:r>
              <w:rPr>
                <w:rFonts w:hint="eastAsia" w:ascii="宋体" w:hAnsi="宋体" w:eastAsia="宋体" w:cs="宋体"/>
                <w:sz w:val="24"/>
                <w:szCs w:val="20"/>
              </w:rPr>
              <w:t xml:space="preserve">和治理应用功能模块建设升级项目</w:t>
            </w:r>
            <w:r/>
          </w:p>
        </w:tc>
        <w:tc>
          <w:tcPr>
            <w:tcW w:w="3987" w:type="dxa"/>
            <w:vAlign w:val="center"/>
            <w:textDirection w:val="lrTb"/>
            <w:noWrap w:val="false"/>
          </w:tcPr>
          <w:p>
            <w:pPr>
              <w:jc w:val="center"/>
              <w:spacing w:line="560" w:lineRule="exact"/>
              <w:widowControl/>
              <w:rPr>
                <w:rFonts w:ascii="宋体" w:hAnsi="宋体" w:eastAsia="Arial" w:cs="宋体"/>
                <w:sz w:val="24"/>
                <w:szCs w:val="20"/>
              </w:rPr>
            </w:pPr>
            <w:r>
              <w:rPr>
                <w:rFonts w:hint="eastAsia" w:ascii="宋体" w:hAnsi="宋体" w:eastAsia="宋体" w:cs="宋体"/>
                <w:sz w:val="24"/>
                <w:szCs w:val="20"/>
              </w:rPr>
              <w:t xml:space="preserve">软件和信息技术服务业</w:t>
            </w:r>
            <w:r/>
          </w:p>
        </w:tc>
      </w:tr>
    </w:tbl>
    <w:p>
      <w:pPr>
        <w:ind w:firstLine="482"/>
        <w:jc w:val="left"/>
        <w:spacing w:line="560" w:lineRule="exact"/>
        <w:widowControl/>
        <w:rPr>
          <w:rFonts w:hint="eastAsia" w:ascii="宋体" w:hAnsi="宋体" w:eastAsia="宋体" w:cs="宋体"/>
          <w:b/>
          <w:bCs/>
          <w:sz w:val="24"/>
          <w:szCs w:val="20"/>
          <w:lang w:bidi="ar"/>
        </w:rPr>
        <w:sectPr>
          <w:footnotePr/>
          <w:endnotePr/>
          <w:type w:val="nextPage"/>
          <w:pgSz w:w="11906" w:h="16838" w:orient="portrait"/>
          <w:pgMar w:top="1440" w:right="1633" w:bottom="1440" w:left="1633" w:header="737" w:footer="1134" w:gutter="0"/>
          <w:cols w:num="1" w:sep="0" w:space="425" w:equalWidth="1"/>
          <w:docGrid w:linePitch="360"/>
          <w:titlePg/>
        </w:sectPr>
        <w:outlineLvl w:val="1"/>
      </w:pPr>
      <w:r>
        <w:rPr>
          <w:rFonts w:hint="eastAsia" w:ascii="宋体" w:hAnsi="宋体" w:eastAsia="宋体" w:cs="宋体"/>
          <w:b/>
          <w:bCs/>
          <w:sz w:val="24"/>
          <w:szCs w:val="20"/>
          <w:lang w:bidi="ar"/>
        </w:rPr>
      </w:r>
      <w:r/>
    </w:p>
    <w:p>
      <w:pPr>
        <w:ind w:firstLine="482"/>
        <w:jc w:val="left"/>
        <w:spacing w:line="560" w:lineRule="exact"/>
        <w:widowControl/>
        <w:rPr>
          <w:rFonts w:hint="eastAsia" w:ascii="宋体" w:hAnsi="宋体" w:eastAsia="宋体" w:cs="宋体"/>
          <w:b/>
          <w:bCs/>
          <w:sz w:val="24"/>
          <w:szCs w:val="20"/>
        </w:rPr>
        <w:outlineLvl w:val="1"/>
      </w:pPr>
      <w:r>
        <w:rPr>
          <w:rFonts w:hint="eastAsia" w:ascii="宋体" w:hAnsi="宋体" w:eastAsia="宋体" w:cs="宋体"/>
          <w:b/>
          <w:bCs/>
          <w:sz w:val="24"/>
          <w:szCs w:val="20"/>
          <w:lang w:bidi="ar"/>
        </w:rPr>
        <w:t xml:space="preserve">分包三：全过程项目咨询和管理服务</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为提高盐城市“公共数据平台”数据安全和治理应用功能模块建设升级项目工作进度，加强项目和财政绩效的全生命周期管理，形成“事前、事中、事后”全覆盖的管理体系，投标人需提供盐城市“公共数据平台”数据安全和治理应用功能模块建设升级项目绩效评价服务、初设咨询服务、监理服务及审计等全生命周期咨询管理服务，负责项目的全过程咨询管理工作。</w:t>
      </w:r>
      <w:r/>
    </w:p>
    <w:p>
      <w:pPr>
        <w:ind w:firstLine="482"/>
        <w:jc w:val="left"/>
        <w:spacing w:line="560" w:lineRule="exact"/>
        <w:widowControl/>
        <w:rPr>
          <w:rFonts w:hint="eastAsia" w:ascii="宋体" w:hAnsi="宋体" w:eastAsia="宋体" w:cs="宋体"/>
          <w:b/>
          <w:bCs/>
          <w:sz w:val="24"/>
          <w:szCs w:val="20"/>
        </w:rPr>
        <w:outlineLvl w:val="2"/>
      </w:pPr>
      <w:r>
        <w:rPr>
          <w:rFonts w:hint="eastAsia" w:ascii="宋体" w:hAnsi="宋体" w:eastAsia="宋体" w:cs="宋体"/>
          <w:b/>
          <w:bCs/>
          <w:sz w:val="24"/>
          <w:szCs w:val="20"/>
          <w:lang w:bidi="ar"/>
        </w:rPr>
        <w:t xml:space="preserve">一、技术要求</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eastAsia="宋体" w:cs="Times New Roman"/>
          <w:b/>
          <w:bCs/>
          <w:sz w:val="24"/>
          <w:szCs w:val="20"/>
          <w:lang w:bidi="ar"/>
        </w:rPr>
        <w:t xml:space="preserve">（一）服务内容</w:t>
      </w:r>
      <w:r/>
    </w:p>
    <w:p>
      <w:pPr>
        <w:ind w:firstLine="482"/>
        <w:jc w:val="left"/>
        <w:spacing w:line="560" w:lineRule="exact"/>
        <w:widowControl/>
        <w:rPr>
          <w:rFonts w:ascii="宋体" w:hAnsi="宋体" w:eastAsia="Arial" w:cs="宋体"/>
          <w:b/>
          <w:bCs/>
          <w:sz w:val="24"/>
          <w:szCs w:val="20"/>
        </w:rPr>
        <w:outlineLvl w:val="4"/>
      </w:pPr>
      <w:r>
        <w:rPr>
          <w:rFonts w:hint="eastAsia" w:ascii="宋体" w:hAnsi="宋体" w:eastAsia="Arial" w:cs="宋体"/>
          <w:b/>
          <w:bCs/>
          <w:sz w:val="24"/>
          <w:szCs w:val="20"/>
          <w:lang w:bidi="ar"/>
        </w:rPr>
        <w:t xml:space="preserve">1.</w:t>
      </w:r>
      <w:r>
        <w:rPr>
          <w:rFonts w:hint="eastAsia" w:ascii="宋体" w:hAnsi="宋体" w:eastAsia="宋体" w:cs="宋体"/>
          <w:b/>
          <w:bCs/>
          <w:sz w:val="24"/>
          <w:szCs w:val="20"/>
          <w:lang w:bidi="ar"/>
        </w:rPr>
        <w:t xml:space="preserve">咨询服务内容</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协助采购人根据《盐城市市级政务信息化项目建设管理办法》和《关于盐城市市级政务信息化项目建设管理工作有关事项的通知》等文件相关要求，提供项目事前、事中、事后的全过程咨询服务。</w:t>
      </w:r>
      <w:r/>
    </w:p>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lang w:bidi="ar"/>
        </w:rPr>
        <w:t xml:space="preserve">（1）绩效评价服务</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为采购人提供绩效评价服务，完成绩效指标制定。绩效指标是实施预算绩效管理的基础，在结构上一般分为三级，其中一、二级均为统一设置的指标分类，一级指标分为决策指标、过程指标、产出指标、效益指标和满意度指标五大类，二级指标是一级指标的细化，其中项目决策指标分为项目立项、绩效目标、资金投入等；过程指标分为资金管理、组织实施等；产出指标分为数量指标、质量指标、时效性指标和成本指标等；效益指标分为社会效益指标、经济效益指标、生态效益指标、可持续发展指标等。三级指标是二级指标的细化，由财政部门和</w:t>
      </w:r>
      <w:r>
        <w:rPr>
          <w:rFonts w:hint="eastAsia" w:ascii="宋体" w:hAnsi="宋体" w:eastAsia="宋体" w:cs="宋体"/>
          <w:sz w:val="24"/>
          <w:szCs w:val="20"/>
          <w:lang w:eastAsia="zh-CN" w:bidi="ar"/>
        </w:rPr>
        <w:t xml:space="preserve">采购人</w:t>
      </w:r>
      <w:r>
        <w:rPr>
          <w:rFonts w:hint="eastAsia" w:ascii="宋体" w:hAnsi="宋体" w:eastAsia="宋体" w:cs="宋体"/>
          <w:sz w:val="24"/>
          <w:szCs w:val="20"/>
          <w:lang w:bidi="ar"/>
        </w:rPr>
        <w:t xml:space="preserve">根据绩效管理需要设置。</w:t>
      </w:r>
      <w:r/>
    </w:p>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lang w:bidi="ar"/>
        </w:rPr>
        <w:t xml:space="preserve">（2）咨询服务</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为采购人提供项目咨询设计服务，包括：业务梳理、信息化现状摸底、分析调研项目需求、梳理信息资源、细化项目建设内容、编制初步设计等。</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1）系统现状与需求的调研、分析与系统使用单位进行需求调研、讨论，整理收集资料并加以分析，整理形成项目详细需求。</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2）系统解决方案的设计，提供先进、完善的系统建设技术解决方案，从建设原则、技术路线、总体设计、功能概要设计、安全保密设计等方面进行充分阐述，整理形成项目初步设计。</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3）系统建设中的设计优化咨询，提供项目建设过程中具体建设内容优化的解决方案。</w:t>
      </w:r>
      <w:r/>
    </w:p>
    <w:p>
      <w:pPr>
        <w:ind w:firstLine="482"/>
        <w:jc w:val="left"/>
        <w:spacing w:line="560" w:lineRule="exact"/>
        <w:widowControl/>
        <w:rPr>
          <w:rFonts w:ascii="宋体" w:hAnsi="宋体" w:eastAsia="Arial" w:cs="宋体"/>
          <w:b/>
          <w:bCs/>
          <w:sz w:val="24"/>
          <w:szCs w:val="20"/>
        </w:rPr>
        <w:outlineLvl w:val="4"/>
      </w:pPr>
      <w:r>
        <w:rPr>
          <w:rFonts w:hint="eastAsia" w:ascii="宋体" w:hAnsi="宋体" w:eastAsia="Arial" w:cs="宋体"/>
          <w:b/>
          <w:bCs/>
          <w:sz w:val="24"/>
          <w:szCs w:val="20"/>
          <w:lang w:bidi="ar"/>
        </w:rPr>
        <w:t xml:space="preserve">2.</w:t>
      </w:r>
      <w:r>
        <w:rPr>
          <w:rFonts w:hint="eastAsia" w:ascii="宋体" w:hAnsi="宋体" w:eastAsia="宋体" w:cs="宋体"/>
          <w:b/>
          <w:bCs/>
          <w:sz w:val="24"/>
          <w:szCs w:val="20"/>
          <w:lang w:bidi="ar"/>
        </w:rPr>
        <w:t xml:space="preserve">监理服务</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投标人按照“四控制、三管理、一协调”的原则，保证项目在规定的时间内完成，并实现项目建设的目标。监理服务的范围包括但不限于：项目实施建设过程，应用软件开发和系统集成，设备和系统软件购置、安装调试，系统单元测试，集成测试，培训，试运行和系统验收，系统移交，相关各类项目会议的组织、记录，项目文档、起草、归档、移交等管理工作；针对项目建设情况，向采购人提出合理化的改进改良建议；全面负责项目各方的工作协调、督办等，并提供7*24小时的现场全程监理服务。协助采购人完成上级各部门对本项目的检查、考核、验收等工作。</w:t>
      </w:r>
      <w:r/>
    </w:p>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lang w:bidi="ar"/>
        </w:rPr>
        <w:t xml:space="preserve">（1）监理依据</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国务院办公厅和省、市有关信息系统项目建设有关文件和监理规范；</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采购人与项目承建单位签订的合同；</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采购人与监理单位签订的服务合同；</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有关国家、省、市技术规范和标准。</w:t>
      </w:r>
      <w:r/>
    </w:p>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lang w:bidi="ar"/>
        </w:rPr>
        <w:t xml:space="preserve">（2）服务内容</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主要内容包括：项目质量控制（系统集成质量的控制、应用软件开发质量的控制、软件应用培训的质量控制）；项目进度控制；项目投资控制；项目变更控制；项目合同管理；信息管理/项目文档管理；经采购人委托，负责协调本项目所涉及的各承建单位之间的工作关系，并协调解决项目建设过程中的各类纠纷； 项目安全的管理；项目知识产权的管理。</w:t>
      </w:r>
      <w:r/>
    </w:p>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lang w:bidi="ar"/>
        </w:rPr>
        <w:t xml:space="preserve">（3）监理服务总体要求</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按照“四控制、三管理、一协调”的原则，保证项目在规定的时间内完成，并实现项目建设的目标。具体内容包括：</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一是项目组织及技术总体方案的把关。审核和确认项目承建单位的总体设计方案；审核和确认项目建设过程中的各种关键技术方案；审核和确认项目承建单位的组织和实施方案；审核和确认项目承建单位的项目质量保证计划、质量控制体系（含质量控制的关键性节点）；审核和确认项目承建单位的</w:t>
      </w:r>
      <w:r>
        <w:rPr>
          <w:rFonts w:hint="eastAsia" w:ascii="宋体" w:hAnsi="宋体" w:eastAsia="宋体" w:cs="宋体"/>
          <w:sz w:val="24"/>
          <w:szCs w:val="20"/>
          <w:lang w:eastAsia="zh-CN" w:bidi="ar"/>
        </w:rPr>
        <w:t xml:space="preserve">源代码</w:t>
      </w:r>
      <w:r>
        <w:rPr>
          <w:rFonts w:hint="eastAsia" w:ascii="宋体" w:hAnsi="宋体" w:eastAsia="宋体" w:cs="宋体"/>
          <w:sz w:val="24"/>
          <w:szCs w:val="20"/>
          <w:lang w:bidi="ar"/>
        </w:rPr>
        <w:t xml:space="preserve">管理方案；审核和确认项目承建单位的测试计划；审核和确认项目承建单位的项目进度计划和进度控制节点；</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二是项目质量控制。组织措施，建立质量管理系统，完善职责分工及有关质量监督制度，落实质量控制责任；进行系统集成质量控制，审核系统总集成方案和各子系统方案，审核关键设备、系统软件选型方案，协助系统集成商和采购人进行选型，对采购的硬件设备的</w:t>
      </w:r>
      <w:r>
        <w:rPr>
          <w:rFonts w:hint="eastAsia" w:ascii="宋体" w:hAnsi="宋体" w:eastAsia="宋体" w:cs="宋体"/>
          <w:sz w:val="24"/>
          <w:szCs w:val="20"/>
          <w:lang w:bidi="ar"/>
        </w:rPr>
        <w:t xml:space="preserve">质量进行检验、测试和验收，参与制定系统验收大纲，对设备安装、系统软件的安装、调试进行验收，对系统进行总体验收；进行应用软件开发的质量控制，协助审查并确认软件开发商制定的软件开发实施计划，对软件开发的需求分析、概要设计、详细设计、编码测试、应用测试阶段的质量进行控制，对项目承建单位的开发质量进行审核，审核软件开发商的开发质量记录及阶段性测试文档，参与制定并审核应用系统验收大纲，对软件开发商最终提交的源代码、开发文件进行移交验收。进行人员培训的质量控制，协助审查并确认培训计划，审定培训大纲，监督审查项目承建单位</w:t>
      </w:r>
      <w:r>
        <w:rPr>
          <w:rFonts w:hint="eastAsia" w:ascii="宋体" w:hAnsi="宋体" w:eastAsia="宋体" w:cs="宋体"/>
          <w:sz w:val="24"/>
          <w:szCs w:val="20"/>
          <w:lang w:eastAsia="zh-CN" w:bidi="ar"/>
        </w:rPr>
        <w:t xml:space="preserve">实施</w:t>
      </w:r>
      <w:r>
        <w:rPr>
          <w:rFonts w:hint="eastAsia" w:ascii="宋体" w:hAnsi="宋体" w:eastAsia="宋体" w:cs="宋体"/>
          <w:sz w:val="24"/>
          <w:szCs w:val="20"/>
          <w:lang w:bidi="ar"/>
        </w:rPr>
        <w:t xml:space="preserve">培训计划，并征求采购人的意见反馈，监督审查考核工作，评估培训效果，协助审核并确认培训总结报告；进行文档、资料的质量控制，监督审查项目承建单位提供的设备型号、数量、到货时间以及设备的技术资料、系统集成和软件开发在实施过程中所有相关文件的标准性和规范化，在各项目验收时，应监督各项目项目承建单位提交符合规定的各项目的成套资料，包括印刷本和电子版。对监理项目实施过程中的文档进行标准化、规范化管理，在监理项目验收时，应提交符合规定的监理项目的成套资料，包括印刷本和电子版。</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三是项目进度控制。组织措施，建立进度控制协调制度，落实进度控制责任；编制项目控制进度计划，编制项目总进度计划和网络图。按各子系统实际情况进行编制，包括系统建设开工、设备的采购、设备的安装调试、软件的编制、试运行等各方面内容, 做到既要保证各子系统、各阶段目标的顺利实现，又要保证项目间、阶段间的衔接、统一和协调；审核项目承建单位</w:t>
      </w:r>
      <w:r>
        <w:rPr>
          <w:rFonts w:hint="eastAsia" w:ascii="宋体" w:hAnsi="宋体" w:eastAsia="宋体" w:cs="宋体"/>
          <w:sz w:val="24"/>
          <w:szCs w:val="20"/>
          <w:lang w:bidi="ar"/>
        </w:rPr>
        <w:t xml:space="preserve">的进度分解计划，确认分解计划可以保证总体计划目标。分析系统建设进度计划是否能满足合同工期及系统建设总进度计划的要求，特别要对照上阶段计划工程量完成情况进行审查, 对为完成系统建设进度计划所采取的措施是否恰当、设备能否满足要求、管理上有无缺陷进行审查。要根据项目承建单位所能提供的人员及设备性能复核、计算设备能力和人员安排是否满足要求等，分析判断计划是否能落实，审查项目承建单位提出的设备供应计划能否落实。如发现供应计划未落实，应及时报告采购人，要求项目承建单位采取应急措施满足系统建设的需求；开展系统建设进度的现</w:t>
      </w:r>
      <w:r>
        <w:rPr>
          <w:rFonts w:hint="eastAsia" w:ascii="宋体" w:hAnsi="宋体" w:eastAsia="宋体" w:cs="宋体"/>
          <w:sz w:val="24"/>
          <w:szCs w:val="20"/>
          <w:lang w:bidi="ar"/>
        </w:rPr>
        <w:t xml:space="preserve">场检查：随时或定期、全面地对进度计划的执行情况跟踪检查，发现问题及时采取有效措施加以解决。加强系统建设准备工作的检查，在工程项目或部分工序实施前，对情况进行检查，要加强检查设备、人员安排、各项措施的落实情况，确保准备工作符合要求，不影响后续工程的进行；开展进度计划的分析与调整: 要保证建设进度与计划进度一致，经常对计划进度与实际进度进行比较分析，发现实际进度与计划进度不符时，即出现进度偏差时，首先分析原因，分析偏差对后续工作的影响程度，并及时通知项目承建单位采取措施，向项目承建单位提出要求和修改计划的指令。</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四是项目投资控制。组织措施，建立健全项目管理组织，完善职责分工及有关质量项目管理制度，落实投资控制的责任；审查设计方案和文件，审查项目承建单位的施工组织设计和各项技术措施，深入了解设计意图，在保证系统建设质量和安全的前提下尽可能优化设计，对工程建设不可预见</w:t>
      </w:r>
      <w:r>
        <w:rPr>
          <w:rFonts w:hint="eastAsia" w:ascii="宋体" w:hAnsi="宋体" w:eastAsia="宋体" w:cs="宋体"/>
          <w:sz w:val="24"/>
          <w:szCs w:val="20"/>
          <w:lang w:eastAsia="zh-CN" w:bidi="ar"/>
        </w:rPr>
        <w:t xml:space="preserve">费用</w:t>
      </w:r>
      <w:r>
        <w:rPr>
          <w:rFonts w:hint="eastAsia" w:ascii="宋体" w:hAnsi="宋体" w:eastAsia="宋体" w:cs="宋体"/>
          <w:sz w:val="24"/>
          <w:szCs w:val="20"/>
          <w:lang w:bidi="ar"/>
        </w:rPr>
        <w:t xml:space="preserve">的开支使用情况进行技术性审核并提出意见，确保投资控制在预算之内或达到节约系统建设投资的目的；对工程量进行全面的复核，保证设计工程量的准确；做好项目承建单位完成工作量的量测和复核工作；严格督促项目承建单位按合同实施，严格控制合同外项目的增加，协助采购人严格控制设计变更，制定设计变更增加工作量的报批制度；及时了解系统建设情况，协调好各方矛盾，减少索赔事件的发生。对发生的事件严格按合同及法律条款进行处理，认真进行索赔调解。</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五是项目变更控制。协助采购</w:t>
      </w:r>
      <w:r>
        <w:rPr>
          <w:rFonts w:hint="eastAsia" w:ascii="宋体" w:hAnsi="宋体" w:eastAsia="宋体" w:cs="宋体"/>
          <w:sz w:val="24"/>
          <w:szCs w:val="20"/>
          <w:lang w:bidi="ar"/>
        </w:rPr>
        <w:t xml:space="preserve">人建立变更控制委员会，建立项目配置管理体系；与采购人确定项目变更流程，并通知项目承建单位；对采购人和项目承建单位的变更申请快速响应，了解变化，并撰写工程备忘录；评估和处理变更，界定变更的目标，选择冲击最小的方案，防止变更扩大化，并征得采购人批准；三方确认变更后，书面向干系人公布变更信息，督促项目承建单位按照项目配置管理规定，调整项目相关文档；定期/分阶段进行项目变更风险的评估；执行制定的变更程序，对变更进行严格的控制；对变更执行效果进行检查；主持采购人与项目承建单位关于工程变更、索赔、有关争议而进行的谈判。</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六是项目合同管理。以合同为依据，本着“实事求是、公正”的原则，合情合理地处理合同执行过程中的各种争议</w:t>
      </w:r>
      <w:r>
        <w:rPr>
          <w:rFonts w:hint="eastAsia" w:ascii="宋体" w:hAnsi="宋体" w:eastAsia="宋体" w:cs="宋体"/>
          <w:sz w:val="24"/>
          <w:szCs w:val="20"/>
          <w:lang w:eastAsia="zh-CN" w:bidi="ar"/>
        </w:rPr>
        <w:t xml:space="preserve">；分</w:t>
      </w:r>
      <w:r>
        <w:rPr>
          <w:rFonts w:hint="eastAsia" w:ascii="宋体" w:hAnsi="宋体" w:eastAsia="宋体" w:cs="宋体"/>
          <w:sz w:val="24"/>
          <w:szCs w:val="20"/>
          <w:lang w:bidi="ar"/>
        </w:rPr>
        <w:t xml:space="preserve">析、跟踪和检查合同执行情况，确保各项目项目承建单位按时履约；对合同的工期的延误和延期进行审核确认；对合同变更、索赔等事宜进行审核确认；根据合同约定，审核项目承建单位的支付申请；建立合同目录、编码和档案；合同管理坚持标准化、程序化，如设计变更、延期、索赔、计量支付等应规定出固定格式和报表。合同价款的增减要有依据，合同外项目增加要严格审批制度。重大合同管理问题的处理，如大的变更、索赔、复杂的技术问题等，组成专门小组进行研究。不符合实际情况的合同条款及时向采购人报告，尽早处理，以免造成损失。</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七是信息管理/项目文档管理。制定详细的信息收集、整理、汇总、分析、传递和利用制度，力求信息管理的标准化和制度化。由专人负责系统建设信息的收集、分类、整理储存及传递工作。信息传递以文字为主，统一编号，利用计算机进行管理，力求信息管理的高效、迅速、及时和准确，为系统建设提供及时有用的信息和决策依据；在项目实施过程中做好工程监理日记和工程大事记；做好双方合同、技术建设方案、测试文档、验收报</w:t>
      </w:r>
      <w:r>
        <w:rPr>
          <w:rFonts w:hint="eastAsia" w:ascii="宋体" w:hAnsi="宋体" w:eastAsia="宋体" w:cs="宋体"/>
          <w:sz w:val="24"/>
          <w:szCs w:val="20"/>
          <w:lang w:bidi="ar"/>
        </w:rPr>
        <w:t xml:space="preserve">告等各类往来文件的存档；建立必要的会议、例会制度，整理好会议纪要，并监督会议有关事项的执行情况；立足于建设现场，加强动态信息管理，对现场的信息进行详细记录和分析，做到以文字为基础，以数据说明问题。根据收集到的信息与合同进行比较，督促项目承建单位的人员和设备到位，促使项目承建单位按合同完成各项目标，从而实现对进度、质量、投资的控制；建立完整的各项报表制度，规范各种适合本项目的报表。定期将各种报表、信息分类汇总，及时向采购人及有关各方报送；监理项目验收时，应提交符合规定的有关工程的成套资料，包括印刷本和电子版。</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主要文档包括：项目周报；监理建议书；监理通知单；各种会议纪要；阶段性项目总结；项目承建单位提交的技术文档；</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八是协调解决项目建设过程中的各类纠纷。经采购人委托，负责协调本项目所涉及的各方之间的工作关系，并通过必要的会议制度协调解决项目建设过程中的各类纠纷。</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九是项目安全管理。负责项目建设过程中所涉及的政府机密数据和资料的保护，保证不被非授权使用；负责项目建设施工过程中安全控制，确保不出现安全事故；</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十是项目知识产权管理。负责项目建设过程中所产生成果的知识产权保护，保证不被非授权使用；负责项目建设过程中涉及知识产权的产品和系统的使用审核，保证采购人不在本项目建设中出现违反知识产权的行为。</w:t>
      </w:r>
      <w:r/>
    </w:p>
    <w:p>
      <w:pPr>
        <w:ind w:firstLine="482"/>
        <w:jc w:val="left"/>
        <w:spacing w:line="560" w:lineRule="exact"/>
        <w:widowControl/>
        <w:rPr>
          <w:rFonts w:ascii="宋体" w:hAnsi="宋体" w:eastAsia="Arial" w:cs="宋体"/>
          <w:b/>
          <w:bCs/>
          <w:sz w:val="24"/>
          <w:szCs w:val="20"/>
        </w:rPr>
        <w:outlineLvl w:val="4"/>
      </w:pPr>
      <w:r>
        <w:rPr>
          <w:rFonts w:hint="eastAsia" w:ascii="宋体" w:hAnsi="宋体" w:eastAsia="Arial" w:cs="宋体"/>
          <w:b/>
          <w:bCs/>
          <w:sz w:val="24"/>
          <w:szCs w:val="20"/>
          <w:lang w:bidi="ar"/>
        </w:rPr>
        <w:t xml:space="preserve">3.</w:t>
      </w:r>
      <w:r>
        <w:rPr>
          <w:rFonts w:hint="eastAsia" w:ascii="宋体" w:hAnsi="宋体" w:eastAsia="宋体" w:cs="宋体"/>
          <w:b/>
          <w:bCs/>
          <w:sz w:val="24"/>
          <w:szCs w:val="20"/>
          <w:lang w:bidi="ar"/>
        </w:rPr>
        <w:t xml:space="preserve">审计服务</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投标人采用国家标准及业界公认的方法，结合软件成本评估标准，在评估服务方案中进行充分阐述，体现方法的科学有效性和引用参数的合理性；对结算评估服务应综合阐述流程和方法依据，以保障报告结论的权威性，提供现场服务，为采购人项目结算提供依据，向采购人提供科学、独立、公正的评估审核报告。</w:t>
      </w:r>
      <w:r/>
    </w:p>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lang w:bidi="ar"/>
        </w:rPr>
        <w:t xml:space="preserve">（1）项目审计工作内容</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一是项目定位、建设目标、使用对象、需求边界是否描述清楚。</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二是关键技术和设计方案、总体架构、功能性能指标、分部接口关系、系统配置和运行环境等是否描述清楚。</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三是项目经费分解、软硬件集成内容、实施工作量价格是否合理，评估单位可根据建设内容完成度，提供合理评估报告。</w:t>
      </w:r>
      <w:r/>
    </w:p>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lang w:bidi="ar"/>
        </w:rPr>
        <w:t xml:space="preserve">（2）项目技术工作要求</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一是本项目采用基于内容和基于价值的评估方法，从技术可行性、经济合理性、环境可行性、运行条件可行性等方面进行系统的分析与评价。</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二是按照项目前期申报资料及盐城市市级政务信息化项目建设管理相关文件评审要求，依据GB/T36964-2018《软件工程 软件开发成本度量规范》及其他相关法律、法规、行业标准，审核项目工程量清单并由中标单位出具相关审核结论、报告。</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三是依据采购人要求，在评审过程中需配合采购人由专业人员对信息化项目的审计作出专业合理化建议。</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四是依据采购人提供的相关管理流程及制度或按照采购人的要求进行工程量计算、价格审核。</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五是根据服务项目情况组建项目小组，项目组组长为固定联系人，组长应具有从事第三方审计服务经验并制定实施方案，经采购人认可后开展具体工作。中标人应根据评审工作开展情况或采购人需要参加采购人组织的定期或不定期的工作会议，并汇报工作的进展情况。</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六是中标人可以根据项目内容要求采购人提供相关文档并以严谨认真的态度进行充分调研，但与本合同无关的或涉密资料采购人有权不提供。但未经采购人书面同意，中标人不得将本合同的服务工作部分或全部交由第三方完成。采购人应积极配合中标人的工作，为其调研提供所需的保障条件，支持其采用的咨询方法和流程。</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七是中标人应在合同约定的时间期限内，保质保量完成采购人交办的任务，根据采购人要求出具相关报告，出具的报告应符合法律法规要求。采购人有权对合同履行过程中中标人的工作、提供的报告等提出修改意见，并做最终书面确认。在合同规定有效期限内，如采购人需求发生变动，中标人有义务就合同项下的调查、评估内容及要求等相应做出变更调整。</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八是中标人对项目进行中了解到的采购人的技术秘密和商业秘密负有保密责任，未经采购人同意不得提供给第三方。如中标人未征得采购人同意或未收到采购人下达任务的通知，而擅自开展调查、咨询工作的，采购人有权拒绝支付与此相关的任何费用，并可以提前终止合同，无需承担违约责任。</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eastAsia="宋体" w:cs="Times New Roman"/>
          <w:b/>
          <w:bCs/>
          <w:sz w:val="24"/>
          <w:szCs w:val="20"/>
          <w:lang w:bidi="ar"/>
        </w:rPr>
        <w:t xml:space="preserve">（二）服务实施要求</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投标人应根据本项目具体需求，制定科学合理的项目咨询和管理方案。方案应</w:t>
      </w:r>
      <w:r>
        <w:rPr>
          <w:rFonts w:hint="eastAsia" w:ascii="宋体" w:hAnsi="宋体" w:eastAsia="宋体" w:cs="宋体"/>
          <w:sz w:val="24"/>
          <w:szCs w:val="20"/>
          <w:lang w:val="en-US" w:eastAsia="zh-CN" w:bidi="ar"/>
        </w:rPr>
        <w:t xml:space="preserve">至少包含</w:t>
      </w:r>
      <w:bookmarkStart w:id="161" w:name="_GoBack"/>
      <w:r/>
      <w:bookmarkEnd w:id="161"/>
      <w:r>
        <w:rPr>
          <w:rFonts w:hint="eastAsia" w:ascii="宋体" w:hAnsi="宋体" w:eastAsia="宋体" w:cs="宋体"/>
          <w:sz w:val="24"/>
          <w:szCs w:val="20"/>
          <w:lang w:bidi="ar"/>
        </w:rPr>
        <w:t xml:space="preserve">以下内容：</w:t>
      </w:r>
      <w:r/>
    </w:p>
    <w:p>
      <w:pPr>
        <w:ind w:firstLine="482"/>
        <w:jc w:val="left"/>
        <w:spacing w:line="560" w:lineRule="exact"/>
        <w:widowControl/>
        <w:rPr>
          <w:rFonts w:hint="eastAsia" w:ascii="宋体" w:hAnsi="宋体" w:eastAsia="宋体" w:cs="宋体"/>
          <w:b/>
          <w:bCs/>
          <w:sz w:val="24"/>
          <w:szCs w:val="20"/>
          <w:lang w:bidi="ar"/>
        </w:rPr>
        <w:outlineLvl w:val="4"/>
      </w:pPr>
      <w:r>
        <w:rPr>
          <w:rFonts w:hint="eastAsia" w:ascii="宋体" w:hAnsi="宋体" w:eastAsia="宋体" w:cs="宋体"/>
          <w:b/>
          <w:bCs/>
          <w:sz w:val="24"/>
          <w:szCs w:val="20"/>
          <w:lang w:bidi="ar"/>
        </w:rPr>
        <w:t xml:space="preserve">1.项目工期</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中标单位在合同签订后三十个工作日内，完成盐城市“公共数据平台”数据安全和治理应用功能模块建设升级项目初步设计方案，并通过</w:t>
      </w:r>
      <w:r>
        <w:rPr>
          <w:rFonts w:hint="eastAsia" w:ascii="宋体" w:hAnsi="宋体" w:eastAsia="宋体" w:cs="宋体"/>
          <w:sz w:val="24"/>
          <w:szCs w:val="20"/>
          <w:lang w:eastAsia="zh-CN" w:bidi="ar"/>
        </w:rPr>
        <w:t xml:space="preserve">采购人</w:t>
      </w:r>
      <w:r>
        <w:rPr>
          <w:rFonts w:hint="eastAsia" w:ascii="宋体" w:hAnsi="宋体" w:eastAsia="宋体" w:cs="宋体"/>
          <w:sz w:val="24"/>
          <w:szCs w:val="20"/>
          <w:lang w:bidi="ar"/>
        </w:rPr>
        <w:t xml:space="preserve">审核；合同其他内容工期根据盐城市“公共数据平台”数据安全和治理应用功能模块建设升级项目实施进度确定。</w:t>
      </w:r>
      <w:r/>
    </w:p>
    <w:p>
      <w:pPr>
        <w:ind w:firstLine="482"/>
        <w:jc w:val="left"/>
        <w:spacing w:line="560" w:lineRule="exact"/>
        <w:widowControl/>
        <w:rPr>
          <w:rFonts w:ascii="宋体" w:hAnsi="宋体" w:eastAsia="Arial" w:cs="宋体"/>
          <w:b/>
          <w:bCs/>
          <w:sz w:val="24"/>
          <w:szCs w:val="20"/>
        </w:rPr>
        <w:outlineLvl w:val="4"/>
      </w:pPr>
      <w:r>
        <w:rPr>
          <w:rFonts w:hint="eastAsia" w:ascii="宋体" w:hAnsi="宋体" w:eastAsia="宋体" w:cs="宋体"/>
          <w:b/>
          <w:bCs/>
          <w:sz w:val="24"/>
          <w:szCs w:val="20"/>
          <w:lang w:bidi="ar"/>
        </w:rPr>
        <w:t xml:space="preserve">2.实施进度要求</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投标人原则上从项目实施启动至项目最终验收提供咨询服务、监理服务及审计服务。（因项目建设、整改导致时间延期，工期顺延）。</w:t>
      </w:r>
      <w:r/>
    </w:p>
    <w:p>
      <w:pPr>
        <w:ind w:firstLine="482"/>
        <w:jc w:val="left"/>
        <w:spacing w:line="56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lang w:bidi="ar"/>
        </w:rPr>
        <w:t xml:space="preserve">3.服务团队要求</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（1）投标人在投标时须建立合理的符合要求的服务团队，并建立健全保障项目顺利实施的服务质量保障体系，设置</w:t>
      </w:r>
      <w:r>
        <w:rPr>
          <w:rFonts w:hint="eastAsia" w:ascii="宋体" w:hAnsi="宋体" w:cs="宋体"/>
          <w:sz w:val="24"/>
          <w:szCs w:val="20"/>
          <w:lang w:bidi="ar"/>
        </w:rPr>
        <w:t xml:space="preserve">总监理工程师</w:t>
      </w:r>
      <w:r>
        <w:rPr>
          <w:rFonts w:hint="eastAsia" w:ascii="宋体" w:hAnsi="宋体" w:eastAsia="宋体" w:cs="宋体"/>
          <w:sz w:val="24"/>
          <w:szCs w:val="20"/>
          <w:lang w:bidi="ar"/>
        </w:rPr>
        <w:t xml:space="preserve">、技术负责人、监理人员、项目审计人员、财政咨询人员、项目评估人员等角色。</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（2）针对本项目投入的服务团队不得少于 6人,其中</w:t>
      </w:r>
      <w:r>
        <w:rPr>
          <w:rFonts w:hint="eastAsia" w:ascii="宋体" w:hAnsi="宋体" w:cs="宋体"/>
          <w:sz w:val="24"/>
          <w:szCs w:val="20"/>
          <w:lang w:bidi="ar"/>
        </w:rPr>
        <w:t xml:space="preserve">总监理工程师</w:t>
      </w:r>
      <w:r>
        <w:rPr>
          <w:rFonts w:hint="eastAsia" w:ascii="宋体" w:hAnsi="宋体" w:eastAsia="宋体" w:cs="宋体"/>
          <w:sz w:val="24"/>
          <w:szCs w:val="20"/>
          <w:lang w:bidi="ar"/>
        </w:rPr>
        <w:t xml:space="preserve">1名、监理工程师至少 2 名、软件评测人员至少2名、审计人员至少1名、团队其他成员至少 1 名。以上人员不可为同一人，且必须具备与本项目规模相适应的技能、项目经验和沟通能力。</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（3）在项目建设期内保证项目监理工程师驻场不少于1人，其他团队人员按需提供驻场和远程等服务方式。常驻人员按采购人工作时间常驻采购人工作地点，对采购人提出的紧急需求和要求做到1小时内响应。</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（4）服务团队所有人员必须遵守采购人相关管理规定并提供联系方式，保证联系渠道畅通。针对项目建设中出现的问题，如采购人要求，中标人必须24小时内到达现场。</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5）中标人不得随意更换团队工作人员。如需更换，必须提前一个月书面通知采购人，经采购人签字同意后方可换人。调入人员的资历和从业经验不低于调出人员，否则视为违约行为，采购人有权终止服务合同，由此造成的损失或延误责任由中标人承担。</w:t>
      </w:r>
      <w:r/>
    </w:p>
    <w:p>
      <w:pPr>
        <w:ind w:firstLine="482"/>
        <w:jc w:val="left"/>
        <w:spacing w:line="56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lang w:bidi="ar"/>
        </w:rPr>
        <w:t xml:space="preserve">4.保密要求</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（1）中标人应签订保密协议，对其因身份、职务、职业或技术关系而知悉的采购人商业秘密和党政机关保密信息应严格保守，保证不被披露或使用，包括意外或过失。 </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（2）中标人不得以竞争为目的、或出于私利、或为第三人谋利而擅自保存、披露、使用采购</w:t>
      </w:r>
      <w:r>
        <w:rPr>
          <w:rFonts w:hint="eastAsia" w:ascii="宋体" w:hAnsi="宋体" w:eastAsia="宋体" w:cs="宋体"/>
          <w:sz w:val="24"/>
          <w:szCs w:val="20"/>
          <w:lang w:eastAsia="zh-CN" w:bidi="ar"/>
        </w:rPr>
        <w:t xml:space="preserve">人的</w:t>
      </w:r>
      <w:r>
        <w:rPr>
          <w:rFonts w:hint="eastAsia" w:ascii="宋体" w:hAnsi="宋体" w:eastAsia="宋体" w:cs="宋体"/>
          <w:sz w:val="24"/>
          <w:szCs w:val="20"/>
          <w:lang w:bidi="ar"/>
        </w:rPr>
        <w:t xml:space="preserve">商业秘密和党政机关保密信息；不得直接或间接地向无关人员泄露采购人的商业秘密和党政机关保密信息；不得向不承担保密义务的任何第三人披露采购人的商业秘密和党政机关保密信息。中标人在从事政府项目时，不得擅自记录、复制、拍摄、摘抄、收藏在工作中涉及的保密信息，严禁将涉及政府项目的任何资料、数据透露或以其他方式提供给项目以外的其他方或中标人内部与该项目无关的任何人员。 </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3）中标人对于工作期间知悉采购人的商业秘密和党政机关保密信息（包括业务信息在内）或工作过程中接触到的政府机关文件（包括内部发文、各类通知及会议记录等）的内容，同样承担保密责任，严禁将政府机关内部会议、谈话内容泄露给无关人员，不得翻阅与工作无关的文件和资料。 </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（4）严禁泄露在工作中接触到的政府机关科技研究、发明、装备器材及其技术资料和政府工作信息。</w:t>
      </w:r>
      <w:r/>
    </w:p>
    <w:p>
      <w:pPr>
        <w:ind w:firstLine="482"/>
        <w:jc w:val="left"/>
        <w:spacing w:line="560" w:lineRule="exact"/>
        <w:widowControl/>
        <w:rPr>
          <w:rFonts w:hint="eastAsia" w:ascii="宋体" w:hAnsi="宋体" w:eastAsia="宋体" w:cs="宋体"/>
          <w:b/>
          <w:bCs/>
          <w:sz w:val="24"/>
          <w:szCs w:val="20"/>
        </w:rPr>
        <w:outlineLvl w:val="2"/>
      </w:pPr>
      <w:r>
        <w:rPr>
          <w:rFonts w:hint="eastAsia" w:ascii="宋体" w:hAnsi="宋体" w:eastAsia="宋体" w:cs="宋体"/>
          <w:b/>
          <w:bCs/>
          <w:sz w:val="24"/>
          <w:szCs w:val="20"/>
          <w:lang w:bidi="ar"/>
        </w:rPr>
        <w:t xml:space="preserve">二、商务要求</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eastAsia="宋体" w:cs="Times New Roman"/>
          <w:b/>
          <w:bCs/>
          <w:sz w:val="24"/>
          <w:szCs w:val="20"/>
          <w:lang w:bidi="ar"/>
        </w:rPr>
        <w:t xml:space="preserve">（一）服务周期</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合同签订生效后，中标人从项目实施启动至项目最终验收提供咨询服务、监理服务及审计服务。（如因项目建设、整改导致时间延期，工期顺延）</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eastAsia="宋体" w:cs="Times New Roman"/>
          <w:b/>
          <w:bCs/>
          <w:sz w:val="24"/>
          <w:szCs w:val="20"/>
          <w:lang w:bidi="ar"/>
        </w:rPr>
        <w:t xml:space="preserve">（二）服务地点</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根据采购人需求至指定服务地点开展工作。</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eastAsia="宋体" w:cs="Times New Roman"/>
          <w:b/>
          <w:bCs/>
          <w:sz w:val="24"/>
          <w:szCs w:val="20"/>
          <w:lang w:bidi="ar"/>
        </w:rPr>
        <w:t xml:space="preserve">（三）服务验收</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bidi="ar"/>
        </w:rPr>
        <w:t xml:space="preserve">中标</w:t>
      </w:r>
      <w:r>
        <w:rPr>
          <w:rFonts w:hint="eastAsia" w:ascii="宋体" w:hAnsi="宋体" w:eastAsia="宋体" w:cs="宋体"/>
          <w:sz w:val="24"/>
          <w:szCs w:val="20"/>
          <w:lang w:eastAsia="zh-CN" w:bidi="ar"/>
        </w:rPr>
        <w:t xml:space="preserve">投标人</w:t>
      </w:r>
      <w:r>
        <w:rPr>
          <w:rFonts w:hint="eastAsia" w:ascii="宋体" w:hAnsi="宋体" w:eastAsia="宋体" w:cs="宋体"/>
          <w:sz w:val="24"/>
          <w:szCs w:val="20"/>
          <w:lang w:bidi="ar"/>
        </w:rPr>
        <w:t xml:space="preserve">完成合同约定的所有服务内容，采购人对中标人提供的相关服务或交付的工作成果进行阶段性验收及总体验收。采购人有权根据检验结果要求中标人立即整改、完善。检验合格后，由采购人组成的验收小组签署验收报告，作为付款凭据之一。</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eastAsia="宋体" w:cs="Times New Roman"/>
          <w:b/>
          <w:bCs/>
          <w:sz w:val="24"/>
          <w:szCs w:val="20"/>
          <w:lang w:bidi="ar"/>
        </w:rPr>
        <w:t xml:space="preserve">（四）支付条款</w:t>
      </w:r>
      <w:r/>
    </w:p>
    <w:p>
      <w:pPr>
        <w:ind w:firstLine="480"/>
        <w:jc w:val="left"/>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（1）</w:t>
      </w:r>
      <w:r>
        <w:rPr>
          <w:rFonts w:ascii="宋体" w:hAnsi="宋体" w:eastAsia="宋体" w:cs="宋体"/>
          <w:sz w:val="24"/>
          <w:szCs w:val="20"/>
          <w:lang w:bidi="ar"/>
        </w:rPr>
        <w:t xml:space="preserve">合同签订</w:t>
      </w:r>
      <w:r>
        <w:rPr>
          <w:rFonts w:hint="eastAsia" w:ascii="宋体" w:hAnsi="宋体" w:eastAsia="宋体" w:cs="宋体"/>
          <w:sz w:val="24"/>
          <w:szCs w:val="20"/>
          <w:lang w:bidi="ar"/>
        </w:rPr>
        <w:t xml:space="preserve">后</w:t>
      </w:r>
      <w:r>
        <w:rPr>
          <w:rFonts w:ascii="宋体" w:hAnsi="宋体" w:eastAsia="宋体" w:cs="宋体"/>
          <w:sz w:val="24"/>
          <w:szCs w:val="20"/>
          <w:lang w:bidi="ar"/>
        </w:rPr>
        <w:t xml:space="preserve">，</w:t>
      </w:r>
      <w:r>
        <w:rPr>
          <w:rFonts w:hint="eastAsia" w:ascii="宋体" w:hAnsi="宋体" w:eastAsia="宋体" w:cs="宋体"/>
          <w:sz w:val="24"/>
          <w:szCs w:val="20"/>
          <w:lang w:bidi="ar"/>
        </w:rPr>
        <w:t xml:space="preserve">甲方在收到乙方票据并确认无误后，10个工作日内，</w:t>
      </w:r>
      <w:r>
        <w:rPr>
          <w:rFonts w:ascii="宋体" w:hAnsi="宋体" w:eastAsia="宋体" w:cs="宋体"/>
          <w:sz w:val="24"/>
          <w:szCs w:val="20"/>
          <w:lang w:bidi="ar"/>
        </w:rPr>
        <w:t xml:space="preserve">支付</w:t>
      </w:r>
      <w:r>
        <w:rPr>
          <w:rFonts w:hint="eastAsia" w:ascii="宋体" w:hAnsi="宋体" w:eastAsia="宋体" w:cs="宋体"/>
          <w:sz w:val="24"/>
          <w:szCs w:val="20"/>
          <w:lang w:bidi="ar"/>
        </w:rPr>
        <w:t xml:space="preserve">预付款</w:t>
      </w:r>
      <w:r>
        <w:rPr>
          <w:rFonts w:ascii="宋体" w:hAnsi="宋体" w:eastAsia="宋体" w:cs="宋体"/>
          <w:sz w:val="24"/>
          <w:szCs w:val="20"/>
          <w:lang w:bidi="ar"/>
        </w:rPr>
        <w:t xml:space="preserve">合同价的</w:t>
      </w:r>
      <w:r>
        <w:rPr>
          <w:rFonts w:hint="eastAsia" w:ascii="宋体" w:hAnsi="宋体" w:eastAsia="宋体" w:cs="宋体"/>
          <w:sz w:val="24"/>
          <w:szCs w:val="20"/>
          <w:lang w:bidi="ar"/>
        </w:rPr>
        <w:t xml:space="preserve">30</w:t>
      </w:r>
      <w:r>
        <w:rPr>
          <w:rFonts w:ascii="宋体" w:hAnsi="宋体" w:eastAsia="宋体" w:cs="宋体"/>
          <w:sz w:val="24"/>
          <w:szCs w:val="20"/>
          <w:lang w:bidi="ar"/>
        </w:rPr>
        <w:t xml:space="preserve">%；</w:t>
      </w:r>
      <w:r/>
    </w:p>
    <w:p>
      <w:pPr>
        <w:ind w:firstLine="480"/>
        <w:jc w:val="left"/>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（2）</w:t>
      </w:r>
      <w:r>
        <w:rPr>
          <w:rFonts w:ascii="宋体" w:hAnsi="宋体" w:eastAsia="宋体" w:cs="宋体"/>
          <w:sz w:val="24"/>
          <w:szCs w:val="20"/>
          <w:lang w:bidi="ar"/>
        </w:rPr>
        <w:t xml:space="preserve">合同约定的所有服务内容完成，经</w:t>
      </w:r>
      <w:r>
        <w:rPr>
          <w:rFonts w:hint="eastAsia" w:ascii="宋体" w:hAnsi="宋体" w:eastAsia="宋体" w:cs="宋体"/>
          <w:sz w:val="24"/>
          <w:szCs w:val="20"/>
          <w:lang w:bidi="ar"/>
        </w:rPr>
        <w:t xml:space="preserve">终验通过</w:t>
      </w:r>
      <w:r>
        <w:rPr>
          <w:rFonts w:ascii="宋体" w:hAnsi="宋体" w:eastAsia="宋体" w:cs="宋体"/>
          <w:sz w:val="24"/>
          <w:szCs w:val="20"/>
          <w:lang w:bidi="ar"/>
        </w:rPr>
        <w:t xml:space="preserve">后，</w:t>
      </w:r>
      <w:r>
        <w:rPr>
          <w:rFonts w:hint="eastAsia" w:ascii="宋体" w:hAnsi="宋体" w:eastAsia="宋体" w:cs="宋体"/>
          <w:sz w:val="24"/>
          <w:szCs w:val="20"/>
          <w:lang w:bidi="ar"/>
        </w:rPr>
        <w:t xml:space="preserve">甲方在收到乙方票据并确认无误后，10个工作日内</w:t>
      </w:r>
      <w:r>
        <w:rPr>
          <w:rFonts w:ascii="宋体" w:hAnsi="宋体" w:eastAsia="宋体" w:cs="宋体"/>
          <w:sz w:val="24"/>
          <w:szCs w:val="20"/>
          <w:lang w:bidi="ar"/>
        </w:rPr>
        <w:t xml:space="preserve">，支付合同价的</w:t>
      </w:r>
      <w:r>
        <w:rPr>
          <w:rFonts w:hint="eastAsia" w:ascii="宋体" w:hAnsi="宋体" w:eastAsia="宋体" w:cs="宋体"/>
          <w:sz w:val="24"/>
          <w:szCs w:val="20"/>
          <w:lang w:bidi="ar"/>
        </w:rPr>
        <w:t xml:space="preserve">70</w:t>
      </w:r>
      <w:r>
        <w:rPr>
          <w:rFonts w:ascii="宋体" w:hAnsi="宋体" w:eastAsia="宋体" w:cs="宋体"/>
          <w:sz w:val="24"/>
          <w:szCs w:val="20"/>
          <w:lang w:bidi="ar"/>
        </w:rPr>
        <w:t xml:space="preserve">%。</w:t>
      </w:r>
      <w:r/>
    </w:p>
    <w:p>
      <w:pPr>
        <w:ind w:firstLine="480"/>
        <w:jc w:val="left"/>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bidi="ar"/>
        </w:rPr>
        <w:t xml:space="preserve">（申请每笔款项支付时，中标人同时向采购人提供相应金额的正式发票。因为</w:t>
      </w:r>
      <w:r>
        <w:rPr>
          <w:rFonts w:hint="eastAsia" w:ascii="宋体" w:hAnsi="宋体" w:eastAsia="宋体" w:cs="宋体"/>
          <w:sz w:val="24"/>
          <w:szCs w:val="20"/>
          <w:lang w:eastAsia="zh-CN" w:bidi="ar"/>
        </w:rPr>
        <w:t xml:space="preserve">投标人</w:t>
      </w:r>
      <w:r>
        <w:rPr>
          <w:rFonts w:hint="eastAsia" w:ascii="宋体" w:hAnsi="宋体" w:eastAsia="宋体" w:cs="宋体"/>
          <w:sz w:val="24"/>
          <w:szCs w:val="20"/>
          <w:lang w:bidi="ar"/>
        </w:rPr>
        <w:t xml:space="preserve">、财政等相关原因不能及时支付的，将延期付款，采购人不承担违约责任）</w:t>
      </w:r>
      <w:r/>
    </w:p>
    <w:p>
      <w:pPr>
        <w:ind w:firstLine="482"/>
        <w:jc w:val="left"/>
        <w:spacing w:line="400" w:lineRule="exact"/>
        <w:widowControl/>
        <w:rPr>
          <w:rFonts w:ascii="Times New Roman" w:hAnsi="Times New Roman"/>
          <w:b/>
          <w:bCs/>
          <w:sz w:val="24"/>
          <w:szCs w:val="20"/>
          <w:lang w:bidi="ar"/>
        </w:rPr>
        <w:outlineLvl w:val="3"/>
      </w:pPr>
      <w:r>
        <w:rPr>
          <w:rFonts w:hint="eastAsia" w:ascii="Times New Roman" w:hAnsi="Times New Roman"/>
          <w:b/>
          <w:bCs/>
          <w:sz w:val="24"/>
          <w:szCs w:val="20"/>
          <w:lang w:bidi="ar"/>
        </w:rPr>
        <w:t xml:space="preserve">（五）其他要求</w:t>
      </w:r>
      <w:r/>
    </w:p>
    <w:p>
      <w:pPr>
        <w:ind w:firstLine="482"/>
        <w:jc w:val="left"/>
        <w:spacing w:line="560" w:lineRule="exact"/>
        <w:widowControl/>
        <w:rPr>
          <w:rFonts w:ascii="宋体" w:hAnsi="宋体" w:eastAsia="Arial" w:cs="宋体"/>
          <w:b/>
          <w:bCs/>
          <w:i/>
          <w:iCs/>
          <w:sz w:val="24"/>
          <w:szCs w:val="20"/>
          <w:u w:val="single"/>
        </w:rPr>
      </w:pPr>
      <w:r>
        <w:rPr>
          <w:rFonts w:hint="eastAsia" w:ascii="宋体" w:hAnsi="宋体" w:eastAsia="Arial" w:cs="宋体"/>
          <w:b/>
          <w:bCs/>
          <w:i/>
          <w:iCs/>
          <w:sz w:val="24"/>
          <w:szCs w:val="20"/>
          <w:u w:val="single"/>
        </w:rPr>
        <w:t xml:space="preserve">★</w:t>
      </w:r>
      <w:r>
        <w:rPr>
          <w:rFonts w:hint="eastAsia" w:ascii="宋体" w:hAnsi="宋体" w:eastAsia="宋体" w:cs="宋体"/>
          <w:b/>
          <w:bCs/>
          <w:i/>
          <w:iCs/>
          <w:sz w:val="24"/>
          <w:szCs w:val="20"/>
          <w:u w:val="single"/>
        </w:rPr>
        <w:t xml:space="preserve">（</w:t>
      </w:r>
      <w:r>
        <w:rPr>
          <w:rFonts w:hint="eastAsia" w:ascii="宋体" w:hAnsi="宋体" w:eastAsia="Arial" w:cs="宋体"/>
          <w:b/>
          <w:bCs/>
          <w:i/>
          <w:iCs/>
          <w:sz w:val="24"/>
          <w:szCs w:val="20"/>
          <w:u w:val="single"/>
        </w:rPr>
        <w:t xml:space="preserve">1</w:t>
      </w:r>
      <w:r>
        <w:rPr>
          <w:rFonts w:hint="eastAsia" w:ascii="宋体" w:hAnsi="宋体" w:eastAsia="宋体" w:cs="宋体"/>
          <w:b/>
          <w:bCs/>
          <w:i/>
          <w:iCs/>
          <w:sz w:val="24"/>
          <w:szCs w:val="20"/>
          <w:u w:val="single"/>
        </w:rPr>
        <w:t xml:space="preserve">）所有招标要求条款</w:t>
      </w:r>
      <w:r>
        <w:rPr>
          <w:rFonts w:hint="eastAsia" w:ascii="宋体" w:hAnsi="宋体" w:eastAsia="宋体" w:cs="宋体"/>
          <w:b/>
          <w:bCs/>
          <w:i/>
          <w:iCs/>
          <w:sz w:val="24"/>
          <w:szCs w:val="20"/>
          <w:u w:val="single"/>
          <w:lang w:eastAsia="zh-CN"/>
        </w:rPr>
        <w:t xml:space="preserve">投标人</w:t>
      </w:r>
      <w:r>
        <w:rPr>
          <w:rFonts w:hint="eastAsia" w:ascii="宋体" w:hAnsi="宋体" w:eastAsia="宋体" w:cs="宋体"/>
          <w:b/>
          <w:bCs/>
          <w:i/>
          <w:iCs/>
          <w:sz w:val="24"/>
          <w:szCs w:val="20"/>
          <w:u w:val="single"/>
        </w:rPr>
        <w:t xml:space="preserve">均必须如实反映响应或偏离情况，如</w:t>
      </w:r>
      <w:r>
        <w:rPr>
          <w:rFonts w:hint="eastAsia" w:ascii="宋体" w:hAnsi="宋体" w:eastAsia="宋体" w:cs="宋体"/>
          <w:b/>
          <w:bCs/>
          <w:i/>
          <w:iCs/>
          <w:sz w:val="24"/>
          <w:szCs w:val="20"/>
          <w:u w:val="single"/>
          <w:lang w:eastAsia="zh-CN"/>
        </w:rPr>
        <w:t xml:space="preserve">投标人</w:t>
      </w:r>
      <w:r>
        <w:rPr>
          <w:rFonts w:hint="eastAsia" w:ascii="宋体" w:hAnsi="宋体" w:eastAsia="宋体" w:cs="宋体"/>
          <w:b/>
          <w:bCs/>
          <w:i/>
          <w:iCs/>
          <w:sz w:val="24"/>
          <w:szCs w:val="20"/>
          <w:u w:val="single"/>
        </w:rPr>
        <w:t xml:space="preserve">虚假响应招标文件要求，则一切后果由</w:t>
      </w:r>
      <w:r>
        <w:rPr>
          <w:rFonts w:hint="eastAsia" w:ascii="宋体" w:hAnsi="宋体" w:eastAsia="宋体" w:cs="宋体"/>
          <w:b/>
          <w:bCs/>
          <w:i/>
          <w:iCs/>
          <w:sz w:val="24"/>
          <w:szCs w:val="20"/>
          <w:u w:val="single"/>
          <w:lang w:eastAsia="zh-CN"/>
        </w:rPr>
        <w:t xml:space="preserve">投标人</w:t>
      </w:r>
      <w:r>
        <w:rPr>
          <w:rFonts w:hint="eastAsia" w:ascii="宋体" w:hAnsi="宋体" w:eastAsia="宋体" w:cs="宋体"/>
          <w:b/>
          <w:bCs/>
          <w:i/>
          <w:iCs/>
          <w:sz w:val="24"/>
          <w:szCs w:val="20"/>
          <w:u w:val="single"/>
        </w:rPr>
        <w:t xml:space="preserve">自行承担。</w:t>
      </w:r>
      <w:r>
        <w:rPr>
          <w:rFonts w:hint="eastAsia" w:ascii="宋体" w:hAnsi="宋体" w:eastAsia="宋体" w:cs="宋体"/>
          <w:b/>
          <w:bCs/>
          <w:i/>
          <w:iCs/>
          <w:sz w:val="24"/>
          <w:szCs w:val="20"/>
          <w:u w:val="single"/>
          <w:lang w:eastAsia="zh-CN"/>
        </w:rPr>
        <w:t xml:space="preserve">采购人</w:t>
      </w:r>
      <w:r>
        <w:rPr>
          <w:rFonts w:hint="eastAsia" w:ascii="宋体" w:hAnsi="宋体" w:eastAsia="宋体" w:cs="宋体"/>
          <w:b/>
          <w:bCs/>
          <w:i/>
          <w:iCs/>
          <w:sz w:val="24"/>
          <w:szCs w:val="20"/>
          <w:u w:val="single"/>
        </w:rPr>
        <w:t xml:space="preserve">保留追究法律责任的权利。（投标人须出具承诺函，</w:t>
      </w:r>
      <w:r>
        <w:rPr>
          <w:rFonts w:hint="eastAsia" w:ascii="宋体" w:hAnsi="宋体" w:eastAsia="宋体" w:cs="宋体"/>
          <w:b/>
          <w:bCs/>
          <w:i/>
          <w:iCs/>
          <w:sz w:val="24"/>
          <w:szCs w:val="20"/>
          <w:u w:val="single"/>
          <w:lang w:val="en-US" w:eastAsia="zh-CN"/>
        </w:rPr>
        <w:t xml:space="preserve">承诺函自制</w:t>
      </w:r>
      <w:r>
        <w:rPr>
          <w:rFonts w:hint="eastAsia" w:ascii="宋体" w:hAnsi="宋体" w:eastAsia="宋体" w:cs="宋体"/>
          <w:b/>
          <w:bCs/>
          <w:i/>
          <w:iCs/>
          <w:sz w:val="24"/>
          <w:szCs w:val="20"/>
          <w:u w:val="single"/>
          <w:lang w:eastAsia="zh-CN"/>
        </w:rPr>
        <w:t xml:space="preserve">，</w:t>
      </w:r>
      <w:r>
        <w:rPr>
          <w:rFonts w:hint="eastAsia" w:ascii="宋体" w:hAnsi="宋体" w:eastAsia="宋体" w:cs="宋体"/>
          <w:b/>
          <w:bCs/>
          <w:i/>
          <w:iCs/>
          <w:sz w:val="24"/>
          <w:szCs w:val="20"/>
          <w:u w:val="single"/>
        </w:rPr>
        <w:t xml:space="preserve">并加盖投标人公章）</w:t>
      </w:r>
      <w:r/>
    </w:p>
    <w:p>
      <w:pPr>
        <w:ind w:firstLine="482"/>
        <w:jc w:val="left"/>
        <w:spacing w:line="560" w:lineRule="exact"/>
        <w:widowControl/>
        <w:rPr>
          <w:rFonts w:ascii="宋体" w:hAnsi="宋体" w:eastAsia="Arial" w:cs="宋体"/>
          <w:b/>
          <w:bCs/>
          <w:i/>
          <w:iCs/>
          <w:sz w:val="24"/>
          <w:szCs w:val="20"/>
          <w:u w:val="single"/>
        </w:rPr>
      </w:pPr>
      <w:r>
        <w:rPr>
          <w:rFonts w:hint="eastAsia" w:ascii="宋体" w:hAnsi="宋体" w:eastAsia="Arial" w:cs="宋体"/>
          <w:b/>
          <w:bCs/>
          <w:i/>
          <w:iCs/>
          <w:sz w:val="24"/>
          <w:szCs w:val="20"/>
          <w:u w:val="single"/>
        </w:rPr>
        <w:t xml:space="preserve">★</w:t>
      </w:r>
      <w:r>
        <w:rPr>
          <w:rFonts w:hint="eastAsia" w:ascii="宋体" w:hAnsi="宋体" w:eastAsia="宋体" w:cs="宋体"/>
          <w:b/>
          <w:bCs/>
          <w:i/>
          <w:iCs/>
          <w:sz w:val="24"/>
          <w:szCs w:val="20"/>
          <w:u w:val="single"/>
        </w:rPr>
        <w:t xml:space="preserve">（</w:t>
      </w:r>
      <w:r>
        <w:rPr>
          <w:rFonts w:hint="eastAsia" w:ascii="宋体" w:hAnsi="宋体" w:eastAsia="Arial" w:cs="宋体"/>
          <w:b/>
          <w:bCs/>
          <w:i/>
          <w:iCs/>
          <w:sz w:val="24"/>
          <w:szCs w:val="20"/>
          <w:u w:val="single"/>
        </w:rPr>
        <w:t xml:space="preserve">2</w:t>
      </w:r>
      <w:r>
        <w:rPr>
          <w:rFonts w:hint="eastAsia" w:ascii="宋体" w:hAnsi="宋体" w:eastAsia="宋体" w:cs="宋体"/>
          <w:b/>
          <w:bCs/>
          <w:i/>
          <w:iCs/>
          <w:sz w:val="24"/>
          <w:szCs w:val="20"/>
          <w:u w:val="single"/>
        </w:rPr>
        <w:t xml:space="preserve">）</w:t>
      </w:r>
      <w:r>
        <w:rPr>
          <w:rFonts w:hint="eastAsia" w:ascii="宋体" w:hAnsi="宋体" w:eastAsia="宋体" w:cs="宋体"/>
          <w:b/>
          <w:bCs/>
          <w:i/>
          <w:iCs/>
          <w:sz w:val="24"/>
          <w:szCs w:val="20"/>
          <w:u w:val="single"/>
          <w:lang w:eastAsia="zh-CN"/>
        </w:rPr>
        <w:t xml:space="preserve">投标人</w:t>
      </w:r>
      <w:r>
        <w:rPr>
          <w:rFonts w:hint="eastAsia" w:ascii="宋体" w:hAnsi="宋体" w:eastAsia="宋体" w:cs="宋体"/>
          <w:b/>
          <w:bCs/>
          <w:i/>
          <w:iCs/>
          <w:sz w:val="24"/>
          <w:szCs w:val="20"/>
          <w:u w:val="single"/>
        </w:rPr>
        <w:t xml:space="preserve">需在投标之前充分调研盐城市现有公共数据平台及相关关联系统现状，所投的报价含后续服务一切费用，即甲方不再另行支付其他费用。（投标人须出具承诺函，</w:t>
      </w:r>
      <w:r>
        <w:rPr>
          <w:rFonts w:hint="eastAsia" w:ascii="宋体" w:hAnsi="宋体" w:eastAsia="宋体" w:cs="宋体"/>
          <w:b/>
          <w:bCs/>
          <w:i/>
          <w:iCs/>
          <w:sz w:val="24"/>
          <w:szCs w:val="20"/>
          <w:u w:val="single"/>
          <w:lang w:val="en-US" w:eastAsia="zh-CN"/>
        </w:rPr>
        <w:t xml:space="preserve">承诺函自制</w:t>
      </w:r>
      <w:r>
        <w:rPr>
          <w:rFonts w:hint="eastAsia" w:ascii="宋体" w:hAnsi="宋体" w:eastAsia="宋体" w:cs="宋体"/>
          <w:b/>
          <w:bCs/>
          <w:i/>
          <w:iCs/>
          <w:sz w:val="24"/>
          <w:szCs w:val="20"/>
          <w:u w:val="single"/>
          <w:lang w:eastAsia="zh-CN"/>
        </w:rPr>
        <w:t xml:space="preserve">，</w:t>
      </w:r>
      <w:r>
        <w:rPr>
          <w:rFonts w:hint="eastAsia" w:ascii="宋体" w:hAnsi="宋体" w:eastAsia="宋体" w:cs="宋体"/>
          <w:b/>
          <w:bCs/>
          <w:i/>
          <w:iCs/>
          <w:sz w:val="24"/>
          <w:szCs w:val="20"/>
          <w:u w:val="single"/>
        </w:rPr>
        <w:t xml:space="preserve">并加盖投标人公章）</w:t>
      </w:r>
      <w:r/>
    </w:p>
    <w:p>
      <w:pPr>
        <w:ind w:firstLine="482"/>
        <w:jc w:val="left"/>
        <w:spacing w:line="560" w:lineRule="exact"/>
        <w:widowControl/>
        <w:rPr>
          <w:rFonts w:hint="eastAsia" w:ascii="宋体" w:hAnsi="宋体" w:eastAsia="宋体" w:cs="宋体"/>
          <w:sz w:val="24"/>
          <w:szCs w:val="20"/>
          <w:lang w:bidi="ar"/>
        </w:rPr>
      </w:pPr>
      <w:r>
        <w:rPr>
          <w:rFonts w:hint="eastAsia" w:ascii="宋体" w:hAnsi="宋体" w:eastAsia="Arial" w:cs="宋体"/>
          <w:b/>
          <w:bCs/>
          <w:i/>
          <w:iCs/>
          <w:sz w:val="24"/>
          <w:szCs w:val="20"/>
          <w:u w:val="single"/>
        </w:rPr>
        <w:t xml:space="preserve">注：本项目招标文件中标注★为实质性要求，不允许负偏离，否则为无效投标。</w:t>
      </w:r>
      <w:r/>
    </w:p>
    <w:p>
      <w:pPr>
        <w:ind w:firstLine="482"/>
        <w:jc w:val="left"/>
        <w:spacing w:line="560" w:lineRule="exact"/>
        <w:widowControl/>
        <w:rPr>
          <w:rFonts w:hint="eastAsia" w:ascii="宋体" w:hAnsi="宋体" w:eastAsia="宋体" w:cs="宋体"/>
          <w:b/>
          <w:bCs/>
          <w:sz w:val="24"/>
          <w:szCs w:val="20"/>
          <w:lang w:bidi="ar"/>
        </w:rPr>
        <w:outlineLvl w:val="2"/>
      </w:pPr>
      <w:r>
        <w:rPr>
          <w:rFonts w:hint="eastAsia" w:ascii="宋体" w:hAnsi="宋体" w:eastAsia="宋体" w:cs="宋体"/>
          <w:b/>
          <w:bCs/>
          <w:sz w:val="24"/>
          <w:szCs w:val="20"/>
          <w:lang w:bidi="ar"/>
        </w:rPr>
        <w:t xml:space="preserve">三、技术方案  </w:t>
      </w:r>
      <w:r/>
    </w:p>
    <w:p>
      <w:pPr>
        <w:ind w:firstLine="482"/>
        <w:jc w:val="left"/>
        <w:spacing w:line="560" w:lineRule="exact"/>
        <w:widowControl/>
        <w:rPr>
          <w:rFonts w:eastAsia="宋体"/>
        </w:rPr>
      </w:pPr>
      <w:r>
        <w:rPr>
          <w:rFonts w:hint="eastAsia" w:ascii="宋体" w:hAnsi="宋体" w:eastAsia="Arial" w:cs="宋体"/>
          <w:sz w:val="24"/>
          <w:szCs w:val="20"/>
        </w:rPr>
        <w:t xml:space="preserve">投标人应严格依据采购需求及本项目实际情况，制订全面、可行、有针对性的实施方案，方案应至少包含以下内容：</w:t>
      </w:r>
      <w:r/>
    </w:p>
    <w:p>
      <w:pPr>
        <w:ind w:firstLine="482"/>
        <w:jc w:val="left"/>
        <w:spacing w:line="400" w:lineRule="exact"/>
        <w:widowControl/>
        <w:rPr>
          <w:rFonts w:ascii="Times New Roman" w:hAnsi="Times New Roman" w:eastAsia="宋体" w:cs="Times New Roman"/>
          <w:b/>
          <w:bCs/>
          <w:sz w:val="24"/>
          <w:szCs w:val="20"/>
          <w:lang w:bidi="ar"/>
        </w:rPr>
        <w:outlineLvl w:val="3"/>
      </w:pPr>
      <w:r>
        <w:rPr>
          <w:rFonts w:hint="eastAsia" w:ascii="Times New Roman" w:hAnsi="Times New Roman" w:eastAsia="宋体" w:cs="Times New Roman"/>
          <w:b/>
          <w:bCs/>
          <w:sz w:val="24"/>
          <w:szCs w:val="20"/>
          <w:lang w:bidi="ar"/>
        </w:rPr>
        <w:t xml:space="preserve">（一）总体方案设计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投标人需提供完整的总体技术方案，方案应至少包含：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 项目背景分析，包括项目来源、建设必要性及行业现状说明；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 项目内容与范围的详细界定；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 项目总体目标与阶段性目标的明确阐述；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 项目设计及实施所依据的国家标准、行业规范或政策文件；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5. 对相关政策背景的理解与响应，说明方案如何符合政策要求与发展方向。</w:t>
      </w:r>
      <w:r/>
    </w:p>
    <w:p>
      <w:pPr>
        <w:ind w:firstLine="482"/>
        <w:jc w:val="left"/>
        <w:spacing w:line="400" w:lineRule="exact"/>
        <w:widowControl/>
        <w:rPr>
          <w:rFonts w:ascii="Times New Roman" w:hAnsi="Times New Roman" w:eastAsia="宋体" w:cs="Times New Roman"/>
          <w:b/>
          <w:bCs/>
          <w:sz w:val="24"/>
          <w:szCs w:val="20"/>
          <w:lang w:bidi="ar"/>
        </w:rPr>
        <w:outlineLvl w:val="3"/>
      </w:pPr>
      <w:r>
        <w:rPr>
          <w:rFonts w:hint="eastAsia" w:ascii="Times New Roman" w:hAnsi="Times New Roman" w:eastAsia="宋体" w:cs="Times New Roman"/>
          <w:b/>
          <w:bCs/>
          <w:sz w:val="24"/>
          <w:szCs w:val="20"/>
          <w:lang w:bidi="ar"/>
        </w:rPr>
        <w:t xml:space="preserve">（二）监理服务方案</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方案应至少包含：</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 </w:t>
      </w:r>
      <w:r>
        <w:rPr>
          <w:rFonts w:hint="eastAsia" w:ascii="宋体" w:hAnsi="宋体" w:eastAsia="宋体" w:cs="宋体"/>
          <w:sz w:val="24"/>
          <w:szCs w:val="20"/>
        </w:rPr>
        <w:t xml:space="preserve">针对本项目的监理工作，应提供重点与难点分析，并提出具有可操作性的应对策略，内容包括但不限于：对关键技术、关键节点或复杂环节的专项分析；应对各类重点和难点问题的具体措施；为</w:t>
      </w:r>
      <w:r>
        <w:rPr>
          <w:rFonts w:hint="eastAsia" w:ascii="宋体" w:hAnsi="宋体" w:eastAsia="Arial" w:cs="宋体"/>
          <w:sz w:val="24"/>
          <w:szCs w:val="20"/>
        </w:rPr>
        <w:t xml:space="preserve">提高项目质量与效率所提出的合理化建议。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 </w:t>
      </w:r>
      <w:r>
        <w:rPr>
          <w:rFonts w:hint="eastAsia" w:ascii="宋体" w:hAnsi="宋体" w:eastAsia="宋体" w:cs="宋体"/>
          <w:sz w:val="24"/>
          <w:szCs w:val="20"/>
        </w:rPr>
        <w:t xml:space="preserve">监理组织管理方案应全面覆盖以下</w:t>
      </w:r>
      <w:r>
        <w:rPr>
          <w:rFonts w:hint="eastAsia" w:ascii="宋体" w:hAnsi="宋体" w:eastAsia="Arial" w:cs="宋体"/>
          <w:sz w:val="24"/>
          <w:szCs w:val="20"/>
        </w:rPr>
        <w:t xml:space="preserve">8</w:t>
      </w:r>
      <w:r>
        <w:rPr>
          <w:rFonts w:hint="eastAsia" w:ascii="宋体" w:hAnsi="宋体" w:eastAsia="宋体" w:cs="宋体"/>
          <w:sz w:val="24"/>
          <w:szCs w:val="20"/>
        </w:rPr>
        <w:t xml:space="preserve">个方面：项目质量控制的方法与标准；项目进度控制与里程碑管理机制；项目投资控制与成本监督管理措施；变更控制的流程与审批管理机制；合同管理及履约监督方式；信息管理与沟通协调机制；项目文档的编制、归档及管理制度；风险识别、评估与应对策略；项</w:t>
      </w:r>
      <w:r>
        <w:rPr>
          <w:rFonts w:hint="eastAsia" w:ascii="宋体" w:hAnsi="宋体" w:eastAsia="Arial" w:cs="宋体"/>
          <w:sz w:val="24"/>
          <w:szCs w:val="20"/>
        </w:rPr>
        <w:t xml:space="preserve">目内外部组织协调机制与冲突解决办法。</w:t>
      </w:r>
      <w:r/>
    </w:p>
    <w:p>
      <w:pPr>
        <w:ind w:firstLine="482"/>
        <w:jc w:val="left"/>
        <w:spacing w:line="400" w:lineRule="exact"/>
        <w:widowControl/>
        <w:rPr>
          <w:rFonts w:ascii="Times New Roman" w:hAnsi="Times New Roman" w:eastAsia="宋体" w:cs="Times New Roman"/>
          <w:b/>
          <w:bCs/>
          <w:sz w:val="24"/>
          <w:szCs w:val="20"/>
          <w:lang w:bidi="ar"/>
        </w:rPr>
        <w:outlineLvl w:val="3"/>
      </w:pPr>
      <w:r>
        <w:rPr>
          <w:rFonts w:hint="eastAsia" w:ascii="Times New Roman" w:hAnsi="Times New Roman" w:eastAsia="宋体" w:cs="Times New Roman"/>
          <w:b/>
          <w:bCs/>
          <w:sz w:val="24"/>
          <w:szCs w:val="20"/>
          <w:lang w:bidi="ar"/>
        </w:rPr>
        <w:t xml:space="preserve">（三）咨询服务方案</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应提供针对本项目的专业咨询服务方案，方案应至少包含：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 绩效管理方案，涵盖绩效指标设计、评估方法与持续改进机制；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 审计服务方案，包括审计程序、审计内容、审计报告编制及问题整改跟踪；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 咨询方法与具体实施措施，例如访谈、调研、数据分析、专家评审等；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 其他与项目相关的管理咨询或技术咨询服务内容。</w:t>
      </w:r>
      <w:r/>
    </w:p>
    <w:p>
      <w:pPr>
        <w:ind w:firstLine="482"/>
        <w:jc w:val="left"/>
        <w:spacing w:line="400" w:lineRule="exact"/>
        <w:widowControl/>
        <w:outlineLvl w:val="3"/>
      </w:pPr>
      <w:r>
        <w:rPr>
          <w:rFonts w:hint="eastAsia" w:ascii="Times New Roman" w:hAnsi="Times New Roman" w:eastAsia="宋体" w:cs="Times New Roman"/>
          <w:b/>
          <w:bCs/>
          <w:sz w:val="24"/>
          <w:szCs w:val="20"/>
          <w:lang w:bidi="ar"/>
        </w:rPr>
        <w:t xml:space="preserve">（四）实施服务方案</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投标人应结合招标文件要求与项目实际特点，制订详尽的专项实施方案，方案应至少包含：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 合同管理方案，明确合同履行监督、索赔处理及争议解决机制；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 信息管理方案，包括信息采集、传递、存储及保密管理制度；  </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 现场组织协调实施方案，涵盖人员配置、职责分工、协调流程及应急响应机制。  </w:t>
      </w:r>
      <w:r/>
    </w:p>
    <w:p>
      <w:pPr>
        <w:ind w:firstLine="482"/>
        <w:jc w:val="left"/>
        <w:spacing w:line="560" w:lineRule="exact"/>
        <w:widowControl/>
        <w:rPr>
          <w:rFonts w:hint="eastAsia" w:ascii="宋体" w:hAnsi="宋体" w:eastAsia="宋体" w:cs="宋体"/>
          <w:b/>
          <w:bCs/>
          <w:sz w:val="24"/>
          <w:szCs w:val="20"/>
          <w:lang w:bidi="ar"/>
        </w:rPr>
        <w:outlineLvl w:val="2"/>
      </w:pPr>
      <w:r>
        <w:rPr>
          <w:rFonts w:hint="eastAsia" w:ascii="宋体" w:hAnsi="宋体" w:eastAsia="宋体" w:cs="宋体"/>
          <w:b/>
          <w:bCs/>
          <w:sz w:val="24"/>
          <w:szCs w:val="20"/>
          <w:lang w:bidi="ar"/>
        </w:rPr>
        <w:t xml:space="preserve">四、企业实力</w:t>
      </w:r>
      <w:r/>
    </w:p>
    <w:p>
      <w:pPr>
        <w:ind w:firstLine="482"/>
        <w:jc w:val="left"/>
        <w:spacing w:line="560" w:lineRule="exact"/>
        <w:widowControl/>
        <w:rPr>
          <w:rFonts w:hint="eastAsia" w:ascii="宋体" w:hAnsi="宋体" w:eastAsia="宋体" w:cs="宋体"/>
          <w:b/>
          <w:bCs/>
          <w:sz w:val="24"/>
          <w:szCs w:val="20"/>
          <w:lang w:bidi="ar"/>
        </w:rPr>
      </w:pPr>
      <w:r>
        <w:rPr>
          <w:rFonts w:hint="eastAsia" w:ascii="宋体" w:hAnsi="宋体" w:eastAsia="Arial" w:cs="宋体"/>
          <w:sz w:val="24"/>
          <w:szCs w:val="20"/>
        </w:rPr>
        <w:t xml:space="preserve">为了择优选择中标单位，体现企业实力，投标人具备有效的</w:t>
      </w:r>
      <w:r>
        <w:rPr>
          <w:rFonts w:hint="eastAsia" w:ascii="宋体" w:hAnsi="宋体" w:cs="宋体"/>
          <w:sz w:val="24"/>
        </w:rPr>
        <w:t xml:space="preserve">信息安全管理体系认证证书、质量体系认证证书、</w:t>
      </w:r>
      <w:r>
        <w:rPr>
          <w:rFonts w:hint="eastAsia" w:ascii="宋体" w:hAnsi="宋体" w:cs="宋体"/>
          <w:sz w:val="24"/>
          <w:lang w:val="en-US" w:eastAsia="zh-CN"/>
        </w:rPr>
        <w:t xml:space="preserve">信息技术</w:t>
      </w:r>
      <w:r>
        <w:rPr>
          <w:rFonts w:hint="eastAsia" w:ascii="宋体" w:hAnsi="宋体" w:cs="宋体"/>
          <w:sz w:val="24"/>
        </w:rPr>
        <w:t xml:space="preserve">服务管理体系认证证书</w:t>
      </w:r>
      <w:r>
        <w:rPr>
          <w:rFonts w:hint="eastAsia" w:ascii="宋体" w:hAnsi="宋体" w:eastAsia="Arial" w:cs="宋体"/>
          <w:sz w:val="24"/>
          <w:szCs w:val="20"/>
        </w:rPr>
        <w:t xml:space="preserve">的优先。</w:t>
      </w:r>
      <w:r/>
    </w:p>
    <w:p>
      <w:pPr>
        <w:ind w:left="482"/>
        <w:jc w:val="left"/>
        <w:spacing w:line="560" w:lineRule="exact"/>
        <w:widowControl/>
        <w:rPr>
          <w:rFonts w:hint="eastAsia" w:ascii="宋体" w:hAnsi="宋体" w:eastAsia="宋体" w:cs="宋体"/>
          <w:b/>
          <w:bCs/>
          <w:sz w:val="24"/>
          <w:szCs w:val="20"/>
          <w:lang w:bidi="ar"/>
        </w:rPr>
        <w:outlineLvl w:val="2"/>
      </w:pPr>
      <w:r>
        <w:rPr>
          <w:rFonts w:hint="eastAsia" w:ascii="宋体" w:hAnsi="宋体" w:eastAsia="宋体" w:cs="宋体"/>
          <w:b/>
          <w:bCs/>
          <w:sz w:val="24"/>
          <w:szCs w:val="20"/>
          <w:lang w:bidi="ar"/>
        </w:rPr>
        <w:t xml:space="preserve">五、团队能力</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投</w:t>
      </w:r>
      <w:r>
        <w:rPr>
          <w:rFonts w:ascii="宋体" w:hAnsi="宋体" w:eastAsia="Arial" w:cs="宋体"/>
          <w:sz w:val="24"/>
          <w:szCs w:val="20"/>
        </w:rPr>
        <w:t xml:space="preserve">标人需为本项目配备项目组并提供</w:t>
      </w:r>
      <w:r>
        <w:rPr>
          <w:rFonts w:hint="eastAsia" w:ascii="宋体" w:hAnsi="宋体" w:eastAsia="Arial" w:cs="宋体"/>
          <w:sz w:val="24"/>
          <w:szCs w:val="20"/>
        </w:rPr>
        <w:t xml:space="preserve">全过程项目咨询和管理服务</w:t>
      </w:r>
      <w:r>
        <w:rPr>
          <w:rFonts w:ascii="宋体" w:hAnsi="宋体" w:eastAsia="Arial" w:cs="宋体"/>
          <w:sz w:val="24"/>
          <w:szCs w:val="20"/>
        </w:rPr>
        <w:t xml:space="preserve">，并按照不同工作职责分别配置</w:t>
      </w:r>
      <w:r>
        <w:rPr>
          <w:rFonts w:hint="eastAsia" w:ascii="宋体" w:hAnsi="宋体" w:cs="宋体"/>
          <w:sz w:val="24"/>
          <w:szCs w:val="20"/>
        </w:rPr>
        <w:t xml:space="preserve">总监理工程师</w:t>
      </w:r>
      <w:r>
        <w:rPr>
          <w:rFonts w:ascii="宋体" w:hAnsi="宋体" w:eastAsia="Arial" w:cs="宋体"/>
          <w:sz w:val="24"/>
          <w:szCs w:val="20"/>
        </w:rPr>
        <w:t xml:space="preserve">、</w:t>
      </w:r>
      <w:r>
        <w:rPr>
          <w:rFonts w:hint="eastAsia" w:ascii="宋体" w:hAnsi="宋体" w:eastAsia="Arial" w:cs="宋体"/>
          <w:sz w:val="24"/>
          <w:szCs w:val="20"/>
        </w:rPr>
        <w:t xml:space="preserve">技术负责人</w:t>
      </w:r>
      <w:r>
        <w:rPr>
          <w:rFonts w:ascii="宋体" w:hAnsi="宋体" w:eastAsia="Arial" w:cs="宋体"/>
          <w:sz w:val="24"/>
          <w:szCs w:val="20"/>
        </w:rPr>
        <w:t xml:space="preserve">及项目组成员。成员人数不少于</w:t>
      </w:r>
      <w:r>
        <w:rPr>
          <w:rFonts w:hint="eastAsia" w:ascii="宋体" w:hAnsi="宋体" w:cs="宋体"/>
          <w:sz w:val="24"/>
          <w:szCs w:val="20"/>
        </w:rPr>
        <w:t xml:space="preserve">6</w:t>
      </w:r>
      <w:r>
        <w:rPr>
          <w:rFonts w:ascii="宋体" w:hAnsi="宋体" w:eastAsia="Arial" w:cs="宋体"/>
          <w:sz w:val="24"/>
          <w:szCs w:val="20"/>
        </w:rPr>
        <w:t xml:space="preserve">人，其中含</w:t>
      </w:r>
      <w:r>
        <w:rPr>
          <w:rFonts w:hint="eastAsia" w:ascii="宋体" w:hAnsi="宋体" w:cs="宋体"/>
          <w:sz w:val="24"/>
          <w:szCs w:val="20"/>
        </w:rPr>
        <w:t xml:space="preserve">总监理工程师1</w:t>
      </w:r>
      <w:r>
        <w:rPr>
          <w:rFonts w:ascii="宋体" w:hAnsi="宋体" w:eastAsia="Arial" w:cs="宋体"/>
          <w:sz w:val="24"/>
          <w:szCs w:val="20"/>
        </w:rPr>
        <w:t xml:space="preserve">名、</w:t>
      </w:r>
      <w:r>
        <w:rPr>
          <w:rFonts w:hint="eastAsia" w:ascii="宋体" w:hAnsi="宋体" w:eastAsia="Arial" w:cs="宋体"/>
          <w:sz w:val="24"/>
          <w:szCs w:val="20"/>
        </w:rPr>
        <w:t xml:space="preserve">技术负责人</w:t>
      </w:r>
      <w:r>
        <w:rPr>
          <w:rFonts w:ascii="宋体" w:hAnsi="宋体" w:eastAsia="Arial" w:cs="宋体"/>
          <w:sz w:val="24"/>
          <w:szCs w:val="20"/>
        </w:rPr>
        <w:t xml:space="preserve">1名</w:t>
      </w:r>
      <w:r>
        <w:rPr>
          <w:rFonts w:hint="eastAsia" w:ascii="宋体" w:hAnsi="宋体" w:eastAsia="宋体" w:cs="宋体"/>
          <w:sz w:val="24"/>
          <w:szCs w:val="20"/>
        </w:rPr>
        <w:t xml:space="preserve">、</w:t>
      </w:r>
      <w:r>
        <w:rPr>
          <w:rFonts w:hint="eastAsia" w:ascii="宋体" w:hAnsi="宋体" w:cs="宋体"/>
          <w:sz w:val="24"/>
          <w:szCs w:val="20"/>
        </w:rPr>
        <w:t xml:space="preserve">其他人员4名</w:t>
      </w:r>
      <w:r>
        <w:rPr>
          <w:rFonts w:ascii="宋体" w:hAnsi="宋体" w:eastAsia="Arial"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lang w:val="en-US" w:eastAsia="zh-CN"/>
        </w:rPr>
        <w:t xml:space="preserve">1.</w:t>
      </w:r>
      <w:r>
        <w:rPr>
          <w:rFonts w:hint="eastAsia" w:ascii="宋体" w:hAnsi="宋体" w:eastAsia="Arial" w:cs="宋体"/>
          <w:sz w:val="24"/>
          <w:szCs w:val="20"/>
        </w:rPr>
        <w:t xml:space="preserve">项目</w:t>
      </w:r>
      <w:r>
        <w:rPr>
          <w:rFonts w:hint="eastAsia" w:ascii="宋体" w:hAnsi="宋体" w:cs="宋体"/>
          <w:sz w:val="24"/>
          <w:szCs w:val="20"/>
        </w:rPr>
        <w:t xml:space="preserve">总监理工程师</w:t>
      </w:r>
      <w:r>
        <w:rPr>
          <w:rFonts w:hint="eastAsia" w:ascii="宋体" w:hAnsi="宋体" w:eastAsia="Arial" w:cs="宋体"/>
          <w:sz w:val="24"/>
          <w:szCs w:val="20"/>
        </w:rPr>
        <w:t xml:space="preserve">：在具有国家人力资源和社会保障部 工业和信息化部批准颁发的信息系统监理师证书基础上，</w:t>
      </w:r>
      <w:r>
        <w:rPr>
          <w:rFonts w:hint="eastAsia" w:ascii="宋体" w:hAnsi="宋体" w:cs="宋体"/>
          <w:sz w:val="24"/>
        </w:rPr>
        <w:t xml:space="preserve">具备国家人力资源和社会保障部 工业和信息化部批准颁发的信息系统项目管理师证书</w:t>
      </w:r>
      <w:r>
        <w:rPr>
          <w:rFonts w:hint="eastAsia" w:ascii="宋体" w:hAnsi="宋体" w:cs="宋体"/>
          <w:sz w:val="24"/>
          <w:szCs w:val="20"/>
        </w:rPr>
        <w:t xml:space="preserve">的优先</w:t>
      </w:r>
      <w:r>
        <w:rPr>
          <w:rFonts w:hint="eastAsia" w:ascii="宋体" w:hAnsi="宋体" w:eastAsia="Arial"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lang w:val="en-US" w:eastAsia="zh-CN"/>
        </w:rPr>
        <w:t xml:space="preserve">2.</w:t>
      </w:r>
      <w:r>
        <w:rPr>
          <w:rFonts w:hint="eastAsia" w:ascii="宋体" w:hAnsi="宋体" w:eastAsia="宋体" w:cs="宋体"/>
          <w:sz w:val="24"/>
          <w:szCs w:val="20"/>
        </w:rPr>
        <w:t xml:space="preserve">技术</w:t>
      </w:r>
      <w:r>
        <w:rPr>
          <w:rFonts w:hint="eastAsia" w:ascii="宋体" w:hAnsi="宋体" w:eastAsia="Arial" w:cs="宋体"/>
          <w:sz w:val="24"/>
          <w:szCs w:val="20"/>
        </w:rPr>
        <w:t xml:space="preserve">负责人：</w:t>
      </w:r>
      <w:r>
        <w:rPr>
          <w:rFonts w:hint="eastAsia" w:ascii="宋体" w:hAnsi="宋体" w:cs="宋体"/>
          <w:sz w:val="24"/>
          <w:szCs w:val="20"/>
        </w:rPr>
        <w:t xml:space="preserve">在</w:t>
      </w:r>
      <w:r>
        <w:rPr>
          <w:rFonts w:hint="eastAsia" w:ascii="宋体" w:hAnsi="宋体" w:eastAsia="Arial" w:cs="宋体"/>
          <w:sz w:val="24"/>
          <w:szCs w:val="20"/>
        </w:rPr>
        <w:t xml:space="preserve">具有国家人力资源和社会保障部 工业和信息化部批准颁发的信息系统监理师证书基础上，具备国家人力资源和社会保障部 工业和信息化部批准颁发的系统集成项目管理工程师</w:t>
      </w:r>
      <w:r>
        <w:rPr>
          <w:rFonts w:hint="eastAsia" w:ascii="宋体" w:hAnsi="宋体" w:eastAsia="宋体" w:cs="宋体"/>
          <w:sz w:val="24"/>
          <w:szCs w:val="20"/>
        </w:rPr>
        <w:t xml:space="preserve">或</w:t>
      </w:r>
      <w:r>
        <w:rPr>
          <w:rFonts w:hint="eastAsia" w:ascii="宋体" w:hAnsi="宋体" w:eastAsia="Arial" w:cs="宋体"/>
          <w:sz w:val="24"/>
          <w:szCs w:val="20"/>
        </w:rPr>
        <w:t xml:space="preserve">信息安全工程师</w:t>
      </w:r>
      <w:r>
        <w:rPr>
          <w:rFonts w:hint="eastAsia" w:ascii="宋体" w:hAnsi="宋体" w:eastAsia="宋体" w:cs="宋体"/>
          <w:sz w:val="24"/>
          <w:szCs w:val="20"/>
        </w:rPr>
        <w:t xml:space="preserve">证书</w:t>
      </w:r>
      <w:r>
        <w:rPr>
          <w:rFonts w:hint="eastAsia" w:ascii="宋体" w:hAnsi="宋体" w:cs="宋体"/>
          <w:sz w:val="24"/>
          <w:szCs w:val="20"/>
        </w:rPr>
        <w:t xml:space="preserve">的优先</w:t>
      </w:r>
      <w:r>
        <w:rPr>
          <w:rFonts w:hint="eastAsia" w:ascii="宋体" w:hAnsi="宋体" w:eastAsia="Arial" w:cs="宋体"/>
          <w:sz w:val="24"/>
          <w:szCs w:val="20"/>
        </w:rPr>
        <w:t xml:space="preserve">。</w:t>
      </w:r>
      <w:r/>
    </w:p>
    <w:p>
      <w:pPr>
        <w:ind w:firstLine="482"/>
        <w:jc w:val="left"/>
        <w:spacing w:line="560" w:lineRule="exact"/>
        <w:widowControl/>
        <w:rPr>
          <w:rFonts w:hint="eastAsia" w:ascii="宋体" w:hAnsi="宋体" w:eastAsia="宋体" w:cs="宋体"/>
          <w:sz w:val="24"/>
          <w:szCs w:val="20"/>
          <w:lang w:bidi="ar"/>
        </w:rPr>
      </w:pPr>
      <w:r>
        <w:rPr>
          <w:rFonts w:hint="eastAsia" w:ascii="宋体" w:hAnsi="宋体" w:eastAsia="宋体" w:cs="宋体"/>
          <w:sz w:val="24"/>
          <w:szCs w:val="20"/>
          <w:lang w:val="en-US" w:eastAsia="zh-CN"/>
        </w:rPr>
        <w:t xml:space="preserve">3.</w:t>
      </w:r>
      <w:r>
        <w:rPr>
          <w:rFonts w:hint="eastAsia" w:ascii="宋体" w:hAnsi="宋体" w:eastAsia="宋体" w:cs="宋体"/>
          <w:sz w:val="24"/>
          <w:szCs w:val="20"/>
        </w:rPr>
        <w:t xml:space="preserve">项目组成员（除项目总监理工程师、技术负责人外）：在具有国家人力资源和社会保障部 工业和信息化部批准颁发的信息系统监理师证书基础上，具有</w:t>
      </w:r>
      <w:r>
        <w:rPr>
          <w:rFonts w:hint="eastAsia" w:ascii="宋体" w:hAnsi="宋体" w:eastAsia="宋体" w:cs="宋体"/>
          <w:sz w:val="24"/>
        </w:rPr>
        <w:t xml:space="preserve">国家人力资源和社会保障部 工业和信息化部批准颁发的信息系统项目管理师、数据库系统工程师、信息安全工程师、软件评测师证书的优</w:t>
      </w:r>
      <w:r>
        <w:rPr>
          <w:rFonts w:hint="eastAsia" w:ascii="宋体" w:hAnsi="宋体" w:eastAsia="宋体" w:cs="宋体"/>
          <w:sz w:val="24"/>
          <w:szCs w:val="20"/>
        </w:rPr>
        <w:t xml:space="preserve">先。</w:t>
      </w:r>
      <w:r/>
    </w:p>
    <w:p>
      <w:pPr>
        <w:ind w:firstLine="482"/>
        <w:jc w:val="left"/>
        <w:spacing w:line="560" w:lineRule="exact"/>
        <w:widowControl/>
        <w:rPr>
          <w:rFonts w:hint="eastAsia" w:ascii="宋体" w:hAnsi="宋体" w:eastAsia="宋体" w:cs="宋体"/>
          <w:b/>
          <w:bCs/>
          <w:sz w:val="24"/>
          <w:szCs w:val="20"/>
          <w:lang w:bidi="ar"/>
        </w:rPr>
        <w:outlineLvl w:val="2"/>
      </w:pPr>
      <w:r>
        <w:rPr>
          <w:rFonts w:hint="eastAsia" w:ascii="宋体" w:hAnsi="宋体" w:eastAsia="宋体" w:cs="宋体"/>
          <w:b/>
          <w:bCs/>
          <w:sz w:val="24"/>
          <w:szCs w:val="20"/>
          <w:lang w:bidi="ar"/>
        </w:rPr>
        <w:t xml:space="preserve">六、业绩</w:t>
      </w:r>
      <w:r/>
    </w:p>
    <w:p>
      <w:pPr>
        <w:ind w:firstLine="482"/>
        <w:jc w:val="left"/>
        <w:spacing w:line="560" w:lineRule="exact"/>
        <w:widowControl/>
        <w:rPr>
          <w:rFonts w:hint="eastAsia" w:ascii="宋体" w:hAnsi="宋体" w:cs="宋体"/>
          <w:sz w:val="24"/>
          <w:szCs w:val="20"/>
        </w:rPr>
      </w:pPr>
      <w:r>
        <w:rPr>
          <w:rFonts w:hint="eastAsia" w:ascii="宋体" w:hAnsi="宋体" w:eastAsia="Arial" w:cs="宋体"/>
          <w:sz w:val="24"/>
          <w:szCs w:val="20"/>
        </w:rPr>
        <w:t xml:space="preserve">为了确保项目的顺利实施，投标人需具有类似项目的相关承接经验，投标人自202</w:t>
      </w:r>
      <w:r>
        <w:rPr>
          <w:rFonts w:hint="eastAsia" w:ascii="宋体" w:hAnsi="宋体" w:cs="宋体"/>
          <w:sz w:val="24"/>
          <w:szCs w:val="20"/>
        </w:rPr>
        <w:t xml:space="preserve">2</w:t>
      </w:r>
      <w:r>
        <w:rPr>
          <w:rFonts w:hint="eastAsia" w:ascii="宋体" w:hAnsi="宋体" w:eastAsia="Arial" w:cs="宋体"/>
          <w:sz w:val="24"/>
          <w:szCs w:val="20"/>
        </w:rPr>
        <w:t xml:space="preserve">年1月1日以来（以合同签订日期为准），承担过类似业绩</w:t>
      </w:r>
      <w:r>
        <w:rPr>
          <w:rFonts w:hint="eastAsia" w:ascii="宋体" w:hAnsi="宋体" w:cs="宋体"/>
          <w:sz w:val="24"/>
          <w:szCs w:val="20"/>
        </w:rPr>
        <w:t xml:space="preserve">（</w:t>
      </w:r>
      <w:r>
        <w:rPr>
          <w:rFonts w:hint="eastAsia" w:ascii="宋体" w:hAnsi="宋体" w:cs="宋体"/>
          <w:sz w:val="24"/>
          <w:lang w:val="zh-CN"/>
        </w:rPr>
        <w:t xml:space="preserve">类似项目</w:t>
      </w:r>
      <w:r>
        <w:rPr>
          <w:rFonts w:hint="eastAsia" w:ascii="宋体" w:hAnsi="宋体" w:cs="宋体"/>
          <w:sz w:val="24"/>
          <w:lang w:val="en-US" w:eastAsia="zh-CN"/>
        </w:rPr>
        <w:t xml:space="preserve">业绩</w:t>
      </w:r>
      <w:r>
        <w:rPr>
          <w:rFonts w:hint="eastAsia" w:ascii="宋体" w:hAnsi="宋体" w:cs="宋体"/>
          <w:sz w:val="24"/>
          <w:lang w:val="zh-CN"/>
        </w:rPr>
        <w:t xml:space="preserve">是指信息系统建设项目监理服务、信息化项目审计、绩效评价服务</w:t>
      </w:r>
      <w:r>
        <w:rPr>
          <w:rFonts w:hint="eastAsia" w:ascii="宋体" w:hAnsi="宋体" w:cs="宋体"/>
          <w:sz w:val="24"/>
          <w:lang w:val="en-US" w:eastAsia="zh-CN"/>
        </w:rPr>
        <w:t xml:space="preserve">至少一项在内的项目</w:t>
      </w:r>
      <w:r>
        <w:rPr>
          <w:rFonts w:hint="eastAsia" w:ascii="宋体" w:hAnsi="宋体" w:cs="宋体"/>
          <w:sz w:val="24"/>
          <w:lang w:val="zh-CN"/>
        </w:rPr>
        <w:t xml:space="preserve">业绩）</w:t>
      </w:r>
      <w:r>
        <w:rPr>
          <w:rFonts w:hint="eastAsia" w:ascii="宋体" w:hAnsi="宋体" w:eastAsia="Arial" w:cs="宋体"/>
          <w:sz w:val="24"/>
          <w:szCs w:val="20"/>
        </w:rPr>
        <w:t xml:space="preserve">的优先。</w:t>
      </w:r>
      <w:r/>
    </w:p>
    <w:p>
      <w:pPr>
        <w:ind w:firstLine="482"/>
        <w:jc w:val="left"/>
        <w:spacing w:line="560" w:lineRule="exact"/>
        <w:widowControl/>
        <w:rPr>
          <w:rFonts w:hint="eastAsia" w:ascii="宋体" w:hAnsi="宋体" w:eastAsia="宋体" w:cs="宋体"/>
          <w:b/>
          <w:bCs/>
          <w:sz w:val="24"/>
          <w:szCs w:val="20"/>
        </w:rPr>
        <w:outlineLvl w:val="2"/>
      </w:pPr>
      <w:r>
        <w:rPr>
          <w:rFonts w:hint="eastAsia" w:ascii="宋体" w:hAnsi="宋体" w:eastAsia="宋体" w:cs="宋体"/>
          <w:b/>
          <w:bCs/>
          <w:sz w:val="24"/>
          <w:szCs w:val="20"/>
        </w:rPr>
        <w:t xml:space="preserve">七、采购标的对应的中小企业划分标准所属行业一览表</w:t>
      </w:r>
      <w:r/>
    </w:p>
    <w:tbl>
      <w:tblPr>
        <w:tblStyle w:val="741"/>
        <w:tblW w:w="873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3836"/>
        <w:gridCol w:w="3987"/>
      </w:tblGrid>
      <w:tr>
        <w:trPr>
          <w:trHeight w:val="789"/>
        </w:trPr>
        <w:tc>
          <w:tcPr>
            <w:tcW w:w="907" w:type="dxa"/>
            <w:vAlign w:val="center"/>
            <w:textDirection w:val="lrTb"/>
            <w:noWrap w:val="false"/>
          </w:tcPr>
          <w:p>
            <w:pPr>
              <w:jc w:val="center"/>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序号</w:t>
            </w:r>
            <w:r/>
          </w:p>
        </w:tc>
        <w:tc>
          <w:tcPr>
            <w:tcW w:w="3836" w:type="dxa"/>
            <w:vAlign w:val="center"/>
            <w:textDirection w:val="lrTb"/>
            <w:noWrap w:val="false"/>
          </w:tcPr>
          <w:p>
            <w:pPr>
              <w:jc w:val="center"/>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采购标的</w:t>
            </w:r>
            <w:r/>
          </w:p>
        </w:tc>
        <w:tc>
          <w:tcPr>
            <w:tcW w:w="3987" w:type="dxa"/>
            <w:vAlign w:val="center"/>
            <w:textDirection w:val="lrTb"/>
            <w:noWrap w:val="false"/>
          </w:tcPr>
          <w:p>
            <w:pPr>
              <w:jc w:val="center"/>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对应中小企业划分标准所属行业</w:t>
            </w:r>
            <w:r/>
          </w:p>
        </w:tc>
      </w:tr>
      <w:tr>
        <w:trPr>
          <w:trHeight w:val="843"/>
        </w:trPr>
        <w:tc>
          <w:tcPr>
            <w:tcW w:w="907" w:type="dxa"/>
            <w:vAlign w:val="center"/>
            <w:textDirection w:val="lrTb"/>
            <w:noWrap w:val="false"/>
          </w:tcPr>
          <w:p>
            <w:pPr>
              <w:jc w:val="center"/>
              <w:spacing w:line="560" w:lineRule="exact"/>
              <w:widowControl/>
              <w:rPr>
                <w:rFonts w:ascii="宋体" w:hAnsi="宋体" w:eastAsia="Arial" w:cs="宋体"/>
                <w:sz w:val="24"/>
                <w:szCs w:val="20"/>
              </w:rPr>
            </w:pPr>
            <w:r>
              <w:rPr>
                <w:rFonts w:hint="eastAsia" w:ascii="宋体" w:hAnsi="宋体" w:eastAsia="Arial" w:cs="宋体"/>
                <w:sz w:val="24"/>
                <w:szCs w:val="20"/>
              </w:rPr>
              <w:t xml:space="preserve">1</w:t>
            </w:r>
            <w:r/>
          </w:p>
        </w:tc>
        <w:tc>
          <w:tcPr>
            <w:tcW w:w="3836" w:type="dxa"/>
            <w:vAlign w:val="center"/>
            <w:textDirection w:val="lrTb"/>
            <w:noWrap w:val="false"/>
          </w:tcPr>
          <w:p>
            <w:pPr>
              <w:jc w:val="center"/>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盐城市“公共数据平台”数据安全 </w:t>
            </w:r>
            <w:r/>
          </w:p>
          <w:p>
            <w:pPr>
              <w:jc w:val="center"/>
              <w:spacing w:line="560" w:lineRule="exact"/>
              <w:widowControl/>
              <w:rPr>
                <w:rFonts w:ascii="宋体" w:hAnsi="宋体" w:eastAsia="Arial" w:cs="宋体"/>
                <w:sz w:val="24"/>
                <w:szCs w:val="20"/>
              </w:rPr>
            </w:pPr>
            <w:r>
              <w:rPr>
                <w:rFonts w:hint="eastAsia" w:ascii="宋体" w:hAnsi="宋体" w:eastAsia="宋体" w:cs="宋体"/>
                <w:sz w:val="24"/>
                <w:szCs w:val="20"/>
              </w:rPr>
              <w:t xml:space="preserve">和治理应用功能模块建设升级项目</w:t>
            </w:r>
            <w:r/>
          </w:p>
        </w:tc>
        <w:tc>
          <w:tcPr>
            <w:tcW w:w="3987" w:type="dxa"/>
            <w:vAlign w:val="center"/>
            <w:textDirection w:val="lrTb"/>
            <w:noWrap w:val="false"/>
          </w:tcPr>
          <w:p>
            <w:pPr>
              <w:jc w:val="center"/>
              <w:spacing w:line="560" w:lineRule="exact"/>
              <w:widowControl/>
              <w:rPr>
                <w:rFonts w:ascii="宋体" w:hAnsi="宋体" w:eastAsia="Arial" w:cs="宋体"/>
                <w:sz w:val="24"/>
                <w:szCs w:val="20"/>
              </w:rPr>
            </w:pPr>
            <w:r>
              <w:rPr>
                <w:rFonts w:hint="eastAsia" w:ascii="宋体" w:hAnsi="宋体" w:eastAsia="Arial" w:cs="宋体"/>
                <w:sz w:val="24"/>
                <w:szCs w:val="20"/>
              </w:rPr>
              <w:t xml:space="preserve">软件和信息技术服务业</w:t>
            </w:r>
            <w:r/>
          </w:p>
        </w:tc>
      </w:tr>
    </w:tbl>
    <w:p>
      <w:pPr>
        <w:ind w:firstLine="482"/>
        <w:jc w:val="left"/>
        <w:spacing w:line="560" w:lineRule="exact"/>
        <w:widowControl/>
        <w:rPr>
          <w:rFonts w:hint="eastAsia" w:ascii="宋体" w:hAnsi="宋体" w:cs="宋体"/>
          <w:b/>
          <w:bCs/>
          <w:sz w:val="24"/>
          <w:szCs w:val="20"/>
          <w:lang w:bidi="ar"/>
        </w:rPr>
      </w:pPr>
      <w:r>
        <w:rPr>
          <w:rFonts w:hint="eastAsia" w:ascii="宋体" w:hAnsi="宋体" w:cs="宋体"/>
          <w:b/>
          <w:bCs/>
          <w:sz w:val="24"/>
          <w:szCs w:val="20"/>
          <w:lang w:bidi="ar"/>
        </w:rPr>
      </w:r>
      <w:r/>
    </w:p>
    <w:p>
      <w:pPr>
        <w:ind w:firstLine="482"/>
        <w:jc w:val="left"/>
        <w:spacing w:line="560" w:lineRule="exact"/>
        <w:widowControl/>
        <w:rPr>
          <w:rFonts w:hint="eastAsia" w:ascii="宋体" w:hAnsi="宋体" w:cs="宋体"/>
          <w:b/>
          <w:bCs/>
          <w:sz w:val="24"/>
          <w:szCs w:val="20"/>
        </w:rPr>
        <w:sectPr>
          <w:footnotePr/>
          <w:endnotePr/>
          <w:type w:val="nextPage"/>
          <w:pgSz w:w="11906" w:h="16838" w:orient="portrait"/>
          <w:pgMar w:top="1440" w:right="1633" w:bottom="1440" w:left="1633" w:header="737" w:footer="1134" w:gutter="0"/>
          <w:cols w:num="1" w:sep="0" w:space="425" w:equalWidth="1"/>
          <w:docGrid w:linePitch="360"/>
          <w:titlePg/>
        </w:sectPr>
        <w:outlineLvl w:val="1"/>
      </w:pPr>
      <w:r>
        <w:rPr>
          <w:rFonts w:hint="eastAsia" w:ascii="宋体" w:hAnsi="宋体" w:cs="宋体"/>
          <w:b/>
          <w:bCs/>
          <w:sz w:val="24"/>
          <w:szCs w:val="20"/>
        </w:rPr>
      </w:r>
      <w:r/>
    </w:p>
    <w:p>
      <w:pPr>
        <w:ind w:firstLine="482"/>
        <w:jc w:val="left"/>
        <w:spacing w:line="560" w:lineRule="exact"/>
        <w:widowControl/>
        <w:rPr>
          <w:rFonts w:hint="eastAsia" w:ascii="宋体" w:hAnsi="宋体" w:cs="宋体"/>
          <w:b/>
          <w:bCs/>
          <w:sz w:val="24"/>
          <w:szCs w:val="20"/>
        </w:rPr>
        <w:outlineLvl w:val="1"/>
      </w:pPr>
      <w:r>
        <w:rPr>
          <w:rFonts w:hint="eastAsia" w:ascii="宋体" w:hAnsi="宋体" w:cs="宋体"/>
          <w:b/>
          <w:bCs/>
          <w:sz w:val="24"/>
          <w:szCs w:val="20"/>
        </w:rPr>
        <w:t xml:space="preserve">分包四：商用密码应用测评服务</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对盐城市“公共数据平台”数据安全和治理应用功能模块建设升级项目开展商用密码应用安全性评估工作，评估该平台系统的密码应用是否合规、正确、有效，通过测评发现存在的安全隐患和风险，并提出有针对性的加强完善密码安全管理和防护建议等，编制密码应用安全性评估报告，协助将报告送至属地密码管理部门进行备案，</w:t>
      </w:r>
      <w:r/>
    </w:p>
    <w:p>
      <w:pPr>
        <w:ind w:firstLine="482"/>
        <w:jc w:val="left"/>
        <w:spacing w:line="560" w:lineRule="exact"/>
        <w:widowControl/>
        <w:rPr>
          <w:rFonts w:hint="eastAsia" w:ascii="宋体" w:hAnsi="宋体" w:eastAsia="宋体" w:cs="宋体"/>
          <w:b/>
          <w:bCs/>
          <w:sz w:val="24"/>
          <w:szCs w:val="20"/>
        </w:rPr>
        <w:outlineLvl w:val="2"/>
      </w:pPr>
      <w:r>
        <w:rPr>
          <w:rFonts w:hint="eastAsia" w:ascii="宋体" w:hAnsi="宋体" w:eastAsia="宋体" w:cs="宋体"/>
          <w:b/>
          <w:bCs/>
          <w:sz w:val="24"/>
          <w:szCs w:val="20"/>
        </w:rPr>
        <w:t xml:space="preserve">一、技术要求</w:t>
      </w:r>
      <w:r/>
    </w:p>
    <w:p>
      <w:pPr>
        <w:ind w:firstLine="482"/>
        <w:jc w:val="left"/>
        <w:spacing w:line="400" w:lineRule="exact"/>
        <w:widowControl/>
        <w:rPr>
          <w:rFonts w:ascii="Times New Roman" w:hAnsi="Times New Roman" w:cs="Times New Roman"/>
          <w:b/>
          <w:bCs/>
          <w:sz w:val="24"/>
          <w:szCs w:val="20"/>
          <w:lang w:val="zh-CN"/>
        </w:rPr>
        <w:outlineLvl w:val="3"/>
      </w:pPr>
      <w:r>
        <w:rPr>
          <w:rFonts w:hint="eastAsia" w:ascii="Times New Roman" w:hAnsi="Times New Roman" w:cs="Times New Roman"/>
          <w:b/>
          <w:bCs/>
          <w:sz w:val="24"/>
          <w:szCs w:val="20"/>
          <w:lang w:val="zh-CN"/>
        </w:rPr>
        <w:t xml:space="preserve">（</w:t>
      </w:r>
      <w:r>
        <w:rPr>
          <w:rFonts w:hint="eastAsia" w:ascii="Times New Roman" w:hAnsi="Times New Roman" w:cs="Times New Roman"/>
          <w:b/>
          <w:bCs/>
          <w:sz w:val="24"/>
          <w:szCs w:val="20"/>
        </w:rPr>
        <w:t xml:space="preserve">一</w:t>
      </w:r>
      <w:r>
        <w:rPr>
          <w:rFonts w:hint="eastAsia" w:ascii="Times New Roman" w:hAnsi="Times New Roman" w:cs="Times New Roman"/>
          <w:b/>
          <w:bCs/>
          <w:sz w:val="24"/>
          <w:szCs w:val="20"/>
          <w:lang w:val="zh-CN"/>
        </w:rPr>
        <w:t xml:space="preserve">）工作依据</w:t>
      </w:r>
      <w:r/>
    </w:p>
    <w:p>
      <w:pPr>
        <w:ind w:firstLine="480"/>
        <w:jc w:val="left"/>
        <w:spacing w:line="560" w:lineRule="exact"/>
        <w:widowControl/>
        <w:rPr>
          <w:rFonts w:hint="eastAsia" w:asciiTheme="minorEastAsia" w:hAnsiTheme="minorEastAsia" w:cstheme="minorEastAsia"/>
          <w:sz w:val="24"/>
          <w:szCs w:val="20"/>
          <w:lang w:val="zh-CN"/>
        </w:rPr>
      </w:pPr>
      <w:r>
        <w:rPr>
          <w:rFonts w:asciiTheme="minorEastAsia" w:hAnsiTheme="minorEastAsia" w:cstheme="minorEastAsia"/>
          <w:sz w:val="24"/>
          <w:szCs w:val="20"/>
        </w:rPr>
        <w:t xml:space="preserve">1</w:t>
      </w: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lang w:val="zh-CN"/>
        </w:rPr>
        <w:t xml:space="preserve">《中华人民共和国密码法》</w:t>
      </w:r>
      <w:r/>
    </w:p>
    <w:p>
      <w:pPr>
        <w:ind w:firstLine="480"/>
        <w:jc w:val="left"/>
        <w:spacing w:line="560" w:lineRule="exact"/>
        <w:widowControl/>
        <w:rPr>
          <w:rFonts w:hint="eastAsia" w:asciiTheme="minorEastAsia" w:hAnsiTheme="minorEastAsia" w:cstheme="minorEastAsia"/>
          <w:sz w:val="24"/>
          <w:szCs w:val="20"/>
          <w:lang w:val="zh-CN"/>
        </w:rPr>
      </w:pPr>
      <w:r>
        <w:rPr>
          <w:rFonts w:asciiTheme="minorEastAsia" w:hAnsiTheme="minorEastAsia" w:cstheme="minorEastAsia"/>
          <w:sz w:val="24"/>
          <w:szCs w:val="20"/>
        </w:rPr>
        <w:t xml:space="preserve">2</w:t>
      </w: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lang w:val="zh-CN"/>
        </w:rPr>
        <w:t xml:space="preserve">《信息安全技术</w:t>
      </w:r>
      <w:r>
        <w:rPr>
          <w:rFonts w:hint="eastAsia" w:asciiTheme="minorEastAsia" w:hAnsiTheme="minorEastAsia" w:cstheme="minorEastAsia"/>
          <w:sz w:val="24"/>
          <w:szCs w:val="20"/>
        </w:rPr>
        <w:t xml:space="preserve"> </w:t>
      </w:r>
      <w:r>
        <w:rPr>
          <w:rFonts w:hint="eastAsia" w:asciiTheme="minorEastAsia" w:hAnsiTheme="minorEastAsia" w:cstheme="minorEastAsia"/>
          <w:sz w:val="24"/>
          <w:szCs w:val="20"/>
          <w:lang w:val="zh-CN"/>
        </w:rPr>
        <w:t xml:space="preserve">信息系统密码应用基本要求》（</w:t>
      </w:r>
      <w:r>
        <w:rPr>
          <w:rFonts w:asciiTheme="minorEastAsia" w:hAnsiTheme="minorEastAsia" w:cstheme="minorEastAsia"/>
          <w:sz w:val="24"/>
          <w:szCs w:val="20"/>
          <w:lang w:val="zh-CN"/>
        </w:rPr>
        <w:t xml:space="preserve">GB/T39786-2021</w:t>
      </w:r>
      <w:r>
        <w:rPr>
          <w:rFonts w:hint="eastAsia" w:asciiTheme="minorEastAsia" w:hAnsiTheme="minorEastAsia" w:cstheme="minorEastAsia"/>
          <w:sz w:val="24"/>
          <w:szCs w:val="20"/>
          <w:lang w:val="zh-CN"/>
        </w:rPr>
        <w:t xml:space="preserve">）</w:t>
      </w:r>
      <w:r/>
    </w:p>
    <w:p>
      <w:pPr>
        <w:ind w:firstLine="480"/>
        <w:jc w:val="left"/>
        <w:spacing w:line="560" w:lineRule="exact"/>
        <w:widowControl/>
        <w:rPr>
          <w:rFonts w:hint="eastAsia" w:asciiTheme="minorEastAsia" w:hAnsiTheme="minorEastAsia" w:cstheme="minorEastAsia"/>
          <w:sz w:val="24"/>
          <w:szCs w:val="20"/>
          <w:lang w:val="zh-CN"/>
        </w:rPr>
      </w:pPr>
      <w:r>
        <w:rPr>
          <w:rFonts w:asciiTheme="minorEastAsia" w:hAnsiTheme="minorEastAsia" w:cstheme="minorEastAsia"/>
          <w:sz w:val="24"/>
          <w:szCs w:val="20"/>
        </w:rPr>
        <w:t xml:space="preserve">3</w:t>
      </w: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lang w:val="zh-CN"/>
        </w:rPr>
        <w:t xml:space="preserve">《信息安全技术 信息系统密码应用测评要求》（GB/T 43206-2023）</w:t>
      </w:r>
      <w:r/>
    </w:p>
    <w:p>
      <w:pPr>
        <w:ind w:firstLine="480"/>
        <w:jc w:val="left"/>
        <w:spacing w:line="560" w:lineRule="exact"/>
        <w:widowControl/>
        <w:rPr>
          <w:rFonts w:hint="eastAsia" w:asciiTheme="minorEastAsia" w:hAnsiTheme="minorEastAsia" w:cstheme="minorEastAsia"/>
          <w:sz w:val="24"/>
          <w:szCs w:val="20"/>
          <w:lang w:val="zh-CN"/>
        </w:rPr>
      </w:pPr>
      <w:r>
        <w:rPr>
          <w:rFonts w:asciiTheme="minorEastAsia" w:hAnsiTheme="minorEastAsia" w:cstheme="minorEastAsia"/>
          <w:sz w:val="24"/>
          <w:szCs w:val="20"/>
        </w:rPr>
        <w:t xml:space="preserve">4</w:t>
      </w: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lang w:val="zh-CN"/>
        </w:rPr>
        <w:t xml:space="preserve">《信息系统密码应用测评过程指南》（GM/T 0116-2021）</w:t>
      </w:r>
      <w:r/>
    </w:p>
    <w:p>
      <w:pPr>
        <w:ind w:firstLine="480"/>
        <w:jc w:val="left"/>
        <w:spacing w:line="560" w:lineRule="exact"/>
        <w:widowControl/>
        <w:rPr>
          <w:rFonts w:hint="eastAsia" w:asciiTheme="minorEastAsia" w:hAnsiTheme="minorEastAsia" w:cstheme="minorEastAsia"/>
          <w:sz w:val="24"/>
          <w:szCs w:val="20"/>
          <w:lang w:val="zh-CN"/>
        </w:rPr>
      </w:pPr>
      <w:r>
        <w:rPr>
          <w:rFonts w:asciiTheme="minorEastAsia" w:hAnsiTheme="minorEastAsia" w:cstheme="minorEastAsia"/>
          <w:sz w:val="24"/>
          <w:szCs w:val="20"/>
        </w:rPr>
        <w:t xml:space="preserve">5</w:t>
      </w: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lang w:val="zh-CN"/>
        </w:rPr>
        <w:t xml:space="preserve">《信息安全技术网络安全等级保护要求》（</w:t>
      </w:r>
      <w:r>
        <w:rPr>
          <w:rFonts w:asciiTheme="minorEastAsia" w:hAnsiTheme="minorEastAsia" w:cstheme="minorEastAsia"/>
          <w:sz w:val="24"/>
          <w:szCs w:val="20"/>
          <w:lang w:val="zh-CN"/>
        </w:rPr>
        <w:t xml:space="preserve">GB/T22239-2019</w:t>
      </w:r>
      <w:r>
        <w:rPr>
          <w:rFonts w:hint="eastAsia" w:asciiTheme="minorEastAsia" w:hAnsiTheme="minorEastAsia" w:cstheme="minorEastAsia"/>
          <w:sz w:val="24"/>
          <w:szCs w:val="20"/>
          <w:lang w:val="zh-CN"/>
        </w:rPr>
        <w:t xml:space="preserve">）</w:t>
      </w:r>
      <w:r/>
    </w:p>
    <w:p>
      <w:pPr>
        <w:ind w:firstLine="480"/>
        <w:jc w:val="left"/>
        <w:spacing w:line="560" w:lineRule="exact"/>
        <w:widowControl/>
        <w:rPr>
          <w:rFonts w:hint="eastAsia" w:asciiTheme="minorEastAsia" w:hAnsiTheme="minorEastAsia" w:cstheme="minorEastAsia"/>
          <w:sz w:val="24"/>
          <w:szCs w:val="20"/>
          <w:lang w:val="zh-CN"/>
        </w:rPr>
      </w:pPr>
      <w:r>
        <w:rPr>
          <w:rFonts w:asciiTheme="minorEastAsia" w:hAnsiTheme="minorEastAsia" w:cstheme="minorEastAsia"/>
          <w:sz w:val="24"/>
          <w:szCs w:val="20"/>
        </w:rPr>
        <w:t xml:space="preserve">6</w:t>
      </w: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lang w:val="zh-CN"/>
        </w:rPr>
        <w:t xml:space="preserve">《公钥基础设施</w:t>
      </w:r>
      <w:r>
        <w:rPr>
          <w:rFonts w:asciiTheme="minorEastAsia" w:hAnsiTheme="minorEastAsia" w:cstheme="minorEastAsia"/>
          <w:sz w:val="24"/>
          <w:szCs w:val="20"/>
          <w:lang w:val="zh-CN"/>
        </w:rPr>
        <w:t xml:space="preserve">PKI</w:t>
      </w:r>
      <w:r>
        <w:rPr>
          <w:rFonts w:hint="eastAsia" w:asciiTheme="minorEastAsia" w:hAnsiTheme="minorEastAsia" w:cstheme="minorEastAsia"/>
          <w:sz w:val="24"/>
          <w:szCs w:val="20"/>
          <w:lang w:val="zh-CN"/>
        </w:rPr>
        <w:t xml:space="preserve">系统安全等级保护评估准则》（</w:t>
      </w:r>
      <w:r>
        <w:rPr>
          <w:rFonts w:asciiTheme="minorEastAsia" w:hAnsiTheme="minorEastAsia" w:cstheme="minorEastAsia"/>
          <w:sz w:val="24"/>
          <w:szCs w:val="20"/>
          <w:lang w:val="zh-CN"/>
        </w:rPr>
        <w:t xml:space="preserve">GB/T21054-2007</w:t>
      </w:r>
      <w:r>
        <w:rPr>
          <w:rFonts w:hint="eastAsia" w:asciiTheme="minorEastAsia" w:hAnsiTheme="minorEastAsia" w:cstheme="minorEastAsia"/>
          <w:sz w:val="24"/>
          <w:szCs w:val="20"/>
          <w:lang w:val="zh-CN"/>
        </w:rPr>
        <w:t xml:space="preserve">）</w:t>
      </w:r>
      <w:r/>
    </w:p>
    <w:p>
      <w:pPr>
        <w:ind w:firstLine="480"/>
        <w:jc w:val="left"/>
        <w:spacing w:line="560" w:lineRule="exact"/>
        <w:widowControl/>
        <w:rPr>
          <w:rFonts w:hint="eastAsia" w:asciiTheme="minorEastAsia" w:hAnsiTheme="minorEastAsia" w:cstheme="minorEastAsia"/>
          <w:sz w:val="24"/>
          <w:szCs w:val="20"/>
          <w:lang w:val="zh-CN"/>
        </w:rPr>
      </w:pPr>
      <w:r>
        <w:rPr>
          <w:rFonts w:asciiTheme="minorEastAsia" w:hAnsiTheme="minorEastAsia" w:cstheme="minorEastAsia"/>
          <w:sz w:val="24"/>
          <w:szCs w:val="20"/>
        </w:rPr>
        <w:t xml:space="preserve">7</w:t>
      </w: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lang w:val="zh-CN"/>
        </w:rPr>
        <w:t xml:space="preserve">《证书认证系统密码及其相关安全技术规范》（</w:t>
      </w:r>
      <w:r>
        <w:rPr>
          <w:rFonts w:asciiTheme="minorEastAsia" w:hAnsiTheme="minorEastAsia" w:cstheme="minorEastAsia"/>
          <w:sz w:val="24"/>
          <w:szCs w:val="20"/>
          <w:lang w:val="zh-CN"/>
        </w:rPr>
        <w:t xml:space="preserve">GM0001-2005</w:t>
      </w:r>
      <w:r>
        <w:rPr>
          <w:rFonts w:hint="eastAsia" w:asciiTheme="minorEastAsia" w:hAnsiTheme="minorEastAsia" w:cstheme="minorEastAsia"/>
          <w:sz w:val="24"/>
          <w:szCs w:val="20"/>
          <w:lang w:val="zh-CN"/>
        </w:rPr>
        <w:t xml:space="preserve">）</w:t>
      </w:r>
      <w:r/>
    </w:p>
    <w:p>
      <w:pPr>
        <w:ind w:firstLine="480"/>
        <w:jc w:val="left"/>
        <w:spacing w:line="560" w:lineRule="exact"/>
        <w:widowControl/>
        <w:rPr>
          <w:rFonts w:hint="eastAsia" w:asciiTheme="minorEastAsia" w:hAnsiTheme="minorEastAsia" w:cstheme="minorEastAsia"/>
          <w:sz w:val="24"/>
          <w:szCs w:val="20"/>
          <w:lang w:val="zh-CN"/>
        </w:rPr>
      </w:pPr>
      <w:r>
        <w:rPr>
          <w:rFonts w:asciiTheme="minorEastAsia" w:hAnsiTheme="minorEastAsia" w:cstheme="minorEastAsia"/>
          <w:sz w:val="24"/>
          <w:szCs w:val="20"/>
        </w:rPr>
        <w:t xml:space="preserve">8</w:t>
      </w: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lang w:val="zh-CN"/>
        </w:rPr>
        <w:t xml:space="preserve">《</w:t>
      </w:r>
      <w:r>
        <w:rPr>
          <w:rFonts w:asciiTheme="minorEastAsia" w:hAnsiTheme="minorEastAsia" w:cstheme="minorEastAsia"/>
          <w:sz w:val="24"/>
          <w:szCs w:val="20"/>
          <w:lang w:val="zh-CN"/>
        </w:rPr>
        <w:t xml:space="preserve">SM4</w:t>
      </w:r>
      <w:r>
        <w:rPr>
          <w:rFonts w:hint="eastAsia" w:asciiTheme="minorEastAsia" w:hAnsiTheme="minorEastAsia" w:cstheme="minorEastAsia"/>
          <w:sz w:val="24"/>
          <w:szCs w:val="20"/>
          <w:lang w:val="zh-CN"/>
        </w:rPr>
        <w:t xml:space="preserve">分组密码算法》（</w:t>
      </w:r>
      <w:r>
        <w:rPr>
          <w:rFonts w:asciiTheme="minorEastAsia" w:hAnsiTheme="minorEastAsia" w:cstheme="minorEastAsia"/>
          <w:sz w:val="24"/>
          <w:szCs w:val="20"/>
          <w:lang w:val="zh-CN"/>
        </w:rPr>
        <w:t xml:space="preserve">GM/T0002-2012</w:t>
      </w:r>
      <w:r>
        <w:rPr>
          <w:rFonts w:hint="eastAsia" w:asciiTheme="minorEastAsia" w:hAnsiTheme="minorEastAsia" w:cstheme="minorEastAsia"/>
          <w:sz w:val="24"/>
          <w:szCs w:val="20"/>
          <w:lang w:val="zh-CN"/>
        </w:rPr>
        <w:t xml:space="preserve">）</w:t>
      </w:r>
      <w:r/>
    </w:p>
    <w:p>
      <w:pPr>
        <w:ind w:firstLine="480"/>
        <w:jc w:val="left"/>
        <w:spacing w:line="560" w:lineRule="exact"/>
        <w:widowControl/>
        <w:rPr>
          <w:rFonts w:hint="eastAsia" w:asciiTheme="minorEastAsia" w:hAnsiTheme="minorEastAsia" w:cstheme="minorEastAsia"/>
          <w:sz w:val="24"/>
          <w:szCs w:val="20"/>
          <w:lang w:val="zh-CN"/>
        </w:rPr>
      </w:pPr>
      <w:r>
        <w:rPr>
          <w:rFonts w:asciiTheme="minorEastAsia" w:hAnsiTheme="minorEastAsia" w:cstheme="minorEastAsia"/>
          <w:sz w:val="24"/>
          <w:szCs w:val="20"/>
        </w:rPr>
        <w:t xml:space="preserve">9</w:t>
      </w: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lang w:val="zh-CN"/>
        </w:rPr>
        <w:t xml:space="preserve">《</w:t>
      </w:r>
      <w:r>
        <w:rPr>
          <w:rFonts w:asciiTheme="minorEastAsia" w:hAnsiTheme="minorEastAsia" w:cstheme="minorEastAsia"/>
          <w:sz w:val="24"/>
          <w:szCs w:val="20"/>
          <w:lang w:val="zh-CN"/>
        </w:rPr>
        <w:t xml:space="preserve">SM2</w:t>
      </w:r>
      <w:r>
        <w:rPr>
          <w:rFonts w:hint="eastAsia" w:asciiTheme="minorEastAsia" w:hAnsiTheme="minorEastAsia" w:cstheme="minorEastAsia"/>
          <w:sz w:val="24"/>
          <w:szCs w:val="20"/>
          <w:lang w:val="zh-CN"/>
        </w:rPr>
        <w:t xml:space="preserve">椭圆曲线公钥密码算法》（</w:t>
      </w:r>
      <w:r>
        <w:rPr>
          <w:rFonts w:asciiTheme="minorEastAsia" w:hAnsiTheme="minorEastAsia" w:cstheme="minorEastAsia"/>
          <w:sz w:val="24"/>
          <w:szCs w:val="20"/>
          <w:lang w:val="zh-CN"/>
        </w:rPr>
        <w:t xml:space="preserve">GM/T0003-2012</w:t>
      </w:r>
      <w:r>
        <w:rPr>
          <w:rFonts w:hint="eastAsia" w:asciiTheme="minorEastAsia" w:hAnsiTheme="minorEastAsia" w:cstheme="minorEastAsia"/>
          <w:sz w:val="24"/>
          <w:szCs w:val="20"/>
          <w:lang w:val="zh-CN"/>
        </w:rPr>
        <w:t xml:space="preserve">）</w:t>
      </w:r>
      <w:r/>
    </w:p>
    <w:p>
      <w:pPr>
        <w:ind w:firstLine="480"/>
        <w:jc w:val="left"/>
        <w:spacing w:line="560" w:lineRule="exact"/>
        <w:widowControl/>
        <w:rPr>
          <w:rFonts w:hint="eastAsia" w:asciiTheme="minorEastAsia" w:hAnsiTheme="minorEastAsia" w:cstheme="minorEastAsia"/>
          <w:sz w:val="24"/>
          <w:szCs w:val="20"/>
          <w:lang w:val="zh-CN"/>
        </w:rPr>
      </w:pPr>
      <w:r>
        <w:rPr>
          <w:rFonts w:asciiTheme="minorEastAsia" w:hAnsiTheme="minorEastAsia" w:cstheme="minorEastAsia"/>
          <w:sz w:val="24"/>
          <w:szCs w:val="20"/>
        </w:rPr>
        <w:t xml:space="preserve">10</w:t>
      </w: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lang w:val="zh-CN"/>
        </w:rPr>
        <w:t xml:space="preserve">《</w:t>
      </w:r>
      <w:r>
        <w:rPr>
          <w:rFonts w:asciiTheme="minorEastAsia" w:hAnsiTheme="minorEastAsia" w:cstheme="minorEastAsia"/>
          <w:sz w:val="24"/>
          <w:szCs w:val="20"/>
          <w:lang w:val="zh-CN"/>
        </w:rPr>
        <w:t xml:space="preserve">SM3</w:t>
      </w:r>
      <w:r>
        <w:rPr>
          <w:rFonts w:hint="eastAsia" w:asciiTheme="minorEastAsia" w:hAnsiTheme="minorEastAsia" w:cstheme="minorEastAsia"/>
          <w:sz w:val="24"/>
          <w:szCs w:val="20"/>
          <w:lang w:val="zh-CN"/>
        </w:rPr>
        <w:t xml:space="preserve">密码杂凑算法》（</w:t>
      </w:r>
      <w:r>
        <w:rPr>
          <w:rFonts w:asciiTheme="minorEastAsia" w:hAnsiTheme="minorEastAsia" w:cstheme="minorEastAsia"/>
          <w:sz w:val="24"/>
          <w:szCs w:val="20"/>
          <w:lang w:val="zh-CN"/>
        </w:rPr>
        <w:t xml:space="preserve">GM/T0004-2012</w:t>
      </w:r>
      <w:r>
        <w:rPr>
          <w:rFonts w:hint="eastAsia" w:asciiTheme="minorEastAsia" w:hAnsiTheme="minorEastAsia" w:cstheme="minorEastAsia"/>
          <w:sz w:val="24"/>
          <w:szCs w:val="20"/>
          <w:lang w:val="zh-CN"/>
        </w:rPr>
        <w:t xml:space="preserve">）</w:t>
      </w:r>
      <w:r/>
    </w:p>
    <w:p>
      <w:pPr>
        <w:ind w:firstLine="480"/>
        <w:jc w:val="left"/>
        <w:spacing w:line="560" w:lineRule="exact"/>
        <w:widowControl/>
        <w:rPr>
          <w:rFonts w:hint="eastAsia" w:asciiTheme="minorEastAsia" w:hAnsiTheme="minorEastAsia" w:cstheme="minorEastAsia"/>
          <w:sz w:val="24"/>
          <w:szCs w:val="20"/>
          <w:lang w:val="zh-CN"/>
        </w:rPr>
      </w:pPr>
      <w:r>
        <w:rPr>
          <w:rFonts w:asciiTheme="minorEastAsia" w:hAnsiTheme="minorEastAsia" w:cstheme="minorEastAsia"/>
          <w:sz w:val="24"/>
          <w:szCs w:val="20"/>
        </w:rPr>
        <w:t xml:space="preserve">11</w:t>
      </w: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lang w:val="zh-CN"/>
        </w:rPr>
        <w:t xml:space="preserve">《随机性检测规范》（</w:t>
      </w:r>
      <w:r>
        <w:rPr>
          <w:rFonts w:asciiTheme="minorEastAsia" w:hAnsiTheme="minorEastAsia" w:cstheme="minorEastAsia"/>
          <w:sz w:val="24"/>
          <w:szCs w:val="20"/>
          <w:lang w:val="zh-CN"/>
        </w:rPr>
        <w:t xml:space="preserve">GM/T0005-2012</w:t>
      </w:r>
      <w:r>
        <w:rPr>
          <w:rFonts w:hint="eastAsia" w:asciiTheme="minorEastAsia" w:hAnsiTheme="minorEastAsia" w:cstheme="minorEastAsia"/>
          <w:sz w:val="24"/>
          <w:szCs w:val="20"/>
          <w:lang w:val="zh-CN"/>
        </w:rPr>
        <w:t xml:space="preserve">）</w:t>
      </w:r>
      <w:r/>
    </w:p>
    <w:p>
      <w:pPr>
        <w:ind w:firstLine="480"/>
        <w:jc w:val="left"/>
        <w:spacing w:line="560" w:lineRule="exact"/>
        <w:widowControl/>
        <w:rPr>
          <w:rFonts w:hint="eastAsia" w:asciiTheme="minorEastAsia" w:hAnsiTheme="minorEastAsia" w:cstheme="minorEastAsia"/>
          <w:sz w:val="24"/>
          <w:szCs w:val="20"/>
          <w:lang w:val="zh-CN"/>
        </w:rPr>
      </w:pPr>
      <w:r>
        <w:rPr>
          <w:rFonts w:asciiTheme="minorEastAsia" w:hAnsiTheme="minorEastAsia" w:cstheme="minorEastAsia"/>
          <w:sz w:val="24"/>
          <w:szCs w:val="20"/>
        </w:rPr>
        <w:t xml:space="preserve">12</w:t>
      </w: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lang w:val="zh-CN"/>
        </w:rPr>
        <w:t xml:space="preserve">《密码应用标识规范》（</w:t>
      </w:r>
      <w:r>
        <w:rPr>
          <w:rFonts w:asciiTheme="minorEastAsia" w:hAnsiTheme="minorEastAsia" w:cstheme="minorEastAsia"/>
          <w:sz w:val="24"/>
          <w:szCs w:val="20"/>
          <w:lang w:val="zh-CN"/>
        </w:rPr>
        <w:t xml:space="preserve">GM/T0006-2012</w:t>
      </w:r>
      <w:r>
        <w:rPr>
          <w:rFonts w:hint="eastAsia" w:asciiTheme="minorEastAsia" w:hAnsiTheme="minorEastAsia" w:cstheme="minorEastAsia"/>
          <w:sz w:val="24"/>
          <w:szCs w:val="20"/>
          <w:lang w:val="zh-CN"/>
        </w:rPr>
        <w:t xml:space="preserve">）</w:t>
      </w:r>
      <w:r/>
    </w:p>
    <w:p>
      <w:pPr>
        <w:ind w:firstLine="480"/>
        <w:jc w:val="left"/>
        <w:spacing w:line="560" w:lineRule="exact"/>
        <w:widowControl/>
        <w:rPr>
          <w:rFonts w:hint="eastAsia" w:asciiTheme="minorEastAsia" w:hAnsiTheme="minorEastAsia" w:cstheme="minorEastAsia"/>
          <w:sz w:val="24"/>
          <w:szCs w:val="20"/>
          <w:lang w:val="zh-CN"/>
        </w:rPr>
      </w:pPr>
      <w:r>
        <w:rPr>
          <w:rFonts w:asciiTheme="minorEastAsia" w:hAnsiTheme="minorEastAsia" w:cstheme="minorEastAsia"/>
          <w:sz w:val="24"/>
          <w:szCs w:val="20"/>
        </w:rPr>
        <w:t xml:space="preserve">13</w:t>
      </w: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lang w:val="zh-CN"/>
        </w:rPr>
        <w:t xml:space="preserve">《密码设备应用接口规范》（</w:t>
      </w:r>
      <w:r>
        <w:rPr>
          <w:rFonts w:asciiTheme="minorEastAsia" w:hAnsiTheme="minorEastAsia" w:cstheme="minorEastAsia"/>
          <w:sz w:val="24"/>
          <w:szCs w:val="20"/>
          <w:lang w:val="zh-CN"/>
        </w:rPr>
        <w:t xml:space="preserve">GM/T0018-2012</w:t>
      </w:r>
      <w:r>
        <w:rPr>
          <w:rFonts w:hint="eastAsia" w:asciiTheme="minorEastAsia" w:hAnsiTheme="minorEastAsia" w:cstheme="minorEastAsia"/>
          <w:sz w:val="24"/>
          <w:szCs w:val="20"/>
          <w:lang w:val="zh-CN"/>
        </w:rPr>
        <w:t xml:space="preserve">）</w:t>
      </w:r>
      <w:r/>
    </w:p>
    <w:p>
      <w:pPr>
        <w:ind w:firstLine="480"/>
        <w:jc w:val="left"/>
        <w:spacing w:line="560" w:lineRule="exact"/>
        <w:widowControl/>
        <w:rPr>
          <w:rFonts w:hint="eastAsia" w:asciiTheme="minorEastAsia" w:hAnsiTheme="minorEastAsia" w:cstheme="minorEastAsia"/>
          <w:sz w:val="24"/>
          <w:szCs w:val="20"/>
          <w:lang w:val="zh-CN"/>
        </w:rPr>
      </w:pPr>
      <w:r>
        <w:rPr>
          <w:rFonts w:asciiTheme="minorEastAsia" w:hAnsiTheme="minorEastAsia" w:cstheme="minorEastAsia"/>
          <w:sz w:val="24"/>
          <w:szCs w:val="20"/>
        </w:rPr>
        <w:t xml:space="preserve">14</w:t>
      </w: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lang w:val="zh-CN"/>
        </w:rPr>
        <w:t xml:space="preserve">《通用密码服务接口规范》（</w:t>
      </w:r>
      <w:r>
        <w:rPr>
          <w:rFonts w:asciiTheme="minorEastAsia" w:hAnsiTheme="minorEastAsia" w:cstheme="minorEastAsia"/>
          <w:sz w:val="24"/>
          <w:szCs w:val="20"/>
          <w:lang w:val="zh-CN"/>
        </w:rPr>
        <w:t xml:space="preserve">GM/T0019-2012</w:t>
      </w:r>
      <w:r>
        <w:rPr>
          <w:rFonts w:hint="eastAsia" w:asciiTheme="minorEastAsia" w:hAnsiTheme="minorEastAsia" w:cstheme="minorEastAsia"/>
          <w:sz w:val="24"/>
          <w:szCs w:val="20"/>
          <w:lang w:val="zh-CN"/>
        </w:rPr>
        <w:t xml:space="preserve">）</w:t>
      </w:r>
      <w:r/>
    </w:p>
    <w:p>
      <w:pPr>
        <w:ind w:firstLine="480"/>
        <w:jc w:val="left"/>
        <w:spacing w:line="560" w:lineRule="exact"/>
        <w:widowControl/>
        <w:rPr>
          <w:rFonts w:hint="eastAsia" w:asciiTheme="minorEastAsia" w:hAnsiTheme="minorEastAsia" w:cstheme="minorEastAsia"/>
          <w:sz w:val="24"/>
          <w:szCs w:val="20"/>
          <w:lang w:val="zh-CN"/>
        </w:rPr>
      </w:pPr>
      <w:r>
        <w:rPr>
          <w:rFonts w:asciiTheme="minorEastAsia" w:hAnsiTheme="minorEastAsia" w:cstheme="minorEastAsia"/>
          <w:sz w:val="24"/>
          <w:szCs w:val="20"/>
        </w:rPr>
        <w:t xml:space="preserve">15</w:t>
      </w: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lang w:val="zh-CN"/>
        </w:rPr>
        <w:t xml:space="preserve">《证书应用综合服务接口规范》（</w:t>
      </w:r>
      <w:r>
        <w:rPr>
          <w:rFonts w:asciiTheme="minorEastAsia" w:hAnsiTheme="minorEastAsia" w:cstheme="minorEastAsia"/>
          <w:sz w:val="24"/>
          <w:szCs w:val="20"/>
          <w:lang w:val="zh-CN"/>
        </w:rPr>
        <w:t xml:space="preserve">GM/T0020-2012</w:t>
      </w:r>
      <w:r>
        <w:rPr>
          <w:rFonts w:hint="eastAsia" w:asciiTheme="minorEastAsia" w:hAnsiTheme="minorEastAsia" w:cstheme="minorEastAsia"/>
          <w:sz w:val="24"/>
          <w:szCs w:val="20"/>
          <w:lang w:val="zh-CN"/>
        </w:rPr>
        <w:t xml:space="preserve">）</w:t>
      </w:r>
      <w:r/>
    </w:p>
    <w:p>
      <w:pPr>
        <w:ind w:firstLine="480"/>
        <w:jc w:val="left"/>
        <w:spacing w:line="560" w:lineRule="exact"/>
        <w:widowControl/>
        <w:rPr>
          <w:rFonts w:hint="eastAsia" w:asciiTheme="minorEastAsia" w:hAnsiTheme="minorEastAsia" w:cstheme="minorEastAsia"/>
          <w:sz w:val="24"/>
          <w:szCs w:val="20"/>
          <w:lang w:val="zh-CN"/>
        </w:rPr>
      </w:pPr>
      <w:r>
        <w:rPr>
          <w:rFonts w:asciiTheme="minorEastAsia" w:hAnsiTheme="minorEastAsia" w:cstheme="minorEastAsia"/>
          <w:sz w:val="24"/>
          <w:szCs w:val="20"/>
        </w:rPr>
        <w:t xml:space="preserve">16</w:t>
      </w: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lang w:val="zh-CN"/>
        </w:rPr>
        <w:t xml:space="preserve">《智能密码钥匙技术规范》（</w:t>
      </w:r>
      <w:r>
        <w:rPr>
          <w:rFonts w:asciiTheme="minorEastAsia" w:hAnsiTheme="minorEastAsia" w:cstheme="minorEastAsia"/>
          <w:sz w:val="24"/>
          <w:szCs w:val="20"/>
          <w:lang w:val="zh-CN"/>
        </w:rPr>
        <w:t xml:space="preserve">GM/T0027-2014</w:t>
      </w:r>
      <w:r>
        <w:rPr>
          <w:rFonts w:hint="eastAsia" w:asciiTheme="minorEastAsia" w:hAnsiTheme="minorEastAsia" w:cstheme="minorEastAsia"/>
          <w:sz w:val="24"/>
          <w:szCs w:val="20"/>
          <w:lang w:val="zh-CN"/>
        </w:rPr>
        <w:t xml:space="preserve">）</w:t>
      </w:r>
      <w:r/>
    </w:p>
    <w:p>
      <w:pPr>
        <w:ind w:firstLine="480"/>
        <w:jc w:val="left"/>
        <w:spacing w:line="560" w:lineRule="exact"/>
        <w:widowControl/>
        <w:rPr>
          <w:rFonts w:hint="eastAsia" w:asciiTheme="minorEastAsia" w:hAnsiTheme="minorEastAsia" w:cstheme="minorEastAsia"/>
          <w:sz w:val="24"/>
          <w:szCs w:val="20"/>
          <w:lang w:val="zh-CN"/>
        </w:rPr>
      </w:pPr>
      <w:r>
        <w:rPr>
          <w:rFonts w:asciiTheme="minorEastAsia" w:hAnsiTheme="minorEastAsia" w:cstheme="minorEastAsia"/>
          <w:sz w:val="24"/>
          <w:szCs w:val="20"/>
        </w:rPr>
        <w:t xml:space="preserve">17</w:t>
      </w: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lang w:val="zh-CN"/>
        </w:rPr>
        <w:t xml:space="preserve">《基于</w:t>
      </w:r>
      <w:r>
        <w:rPr>
          <w:rFonts w:asciiTheme="minorEastAsia" w:hAnsiTheme="minorEastAsia" w:cstheme="minorEastAsia"/>
          <w:sz w:val="24"/>
          <w:szCs w:val="20"/>
          <w:lang w:val="zh-CN"/>
        </w:rPr>
        <w:t xml:space="preserve">SM2</w:t>
      </w:r>
      <w:r>
        <w:rPr>
          <w:rFonts w:hint="eastAsia" w:asciiTheme="minorEastAsia" w:hAnsiTheme="minorEastAsia" w:cstheme="minorEastAsia"/>
          <w:sz w:val="24"/>
          <w:szCs w:val="20"/>
          <w:lang w:val="zh-CN"/>
        </w:rPr>
        <w:t xml:space="preserve">密码算法的证书认证系统密码及其相关安全技术规范》</w:t>
      </w:r>
      <w:r/>
    </w:p>
    <w:p>
      <w:pPr>
        <w:ind w:firstLine="480"/>
        <w:jc w:val="left"/>
        <w:spacing w:line="560" w:lineRule="exact"/>
        <w:widowControl/>
        <w:rPr>
          <w:rFonts w:hint="eastAsia" w:asciiTheme="minorEastAsia" w:hAnsiTheme="minorEastAsia" w:cstheme="minorEastAsia"/>
          <w:sz w:val="24"/>
          <w:szCs w:val="20"/>
          <w:lang w:val="zh-CN"/>
        </w:rPr>
      </w:pPr>
      <w:r>
        <w:rPr>
          <w:rFonts w:asciiTheme="minorEastAsia" w:hAnsiTheme="minorEastAsia" w:cstheme="minorEastAsia"/>
          <w:sz w:val="24"/>
          <w:szCs w:val="20"/>
        </w:rPr>
        <w:t xml:space="preserve">18</w:t>
      </w: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lang w:val="zh-CN"/>
        </w:rPr>
        <w:t xml:space="preserve">《国家政务信息化项目建设管理办法》（国办发〔2019〕57号）</w:t>
      </w:r>
      <w:r/>
    </w:p>
    <w:p>
      <w:pPr>
        <w:ind w:firstLine="480"/>
        <w:jc w:val="left"/>
        <w:spacing w:line="560" w:lineRule="exact"/>
        <w:widowControl/>
        <w:rPr>
          <w:rFonts w:hint="eastAsia" w:asciiTheme="minorEastAsia" w:hAnsiTheme="minorEastAsia" w:cstheme="minorEastAsia"/>
          <w:sz w:val="24"/>
          <w:szCs w:val="20"/>
          <w:lang w:val="zh-CN"/>
        </w:rPr>
      </w:pPr>
      <w:r>
        <w:rPr>
          <w:rFonts w:asciiTheme="minorEastAsia" w:hAnsiTheme="minorEastAsia" w:cstheme="minorEastAsia"/>
          <w:sz w:val="24"/>
          <w:szCs w:val="20"/>
        </w:rPr>
        <w:t xml:space="preserve">19</w:t>
      </w: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lang w:val="zh-CN"/>
        </w:rPr>
        <w:t xml:space="preserve">《江苏省政务信息化项目密码应用与评估备案指南（试行）》（苏密局字〔2019〕43号）</w:t>
      </w:r>
      <w:r/>
    </w:p>
    <w:p>
      <w:pPr>
        <w:ind w:firstLine="480"/>
        <w:jc w:val="left"/>
        <w:spacing w:line="560" w:lineRule="exact"/>
        <w:widowControl/>
        <w:rPr>
          <w:rFonts w:hint="eastAsia" w:asciiTheme="minorEastAsia" w:hAnsiTheme="minorEastAsia" w:cstheme="minorEastAsia"/>
          <w:sz w:val="24"/>
          <w:szCs w:val="20"/>
          <w:lang w:val="zh-CN"/>
        </w:rPr>
      </w:pPr>
      <w:r>
        <w:rPr>
          <w:rFonts w:asciiTheme="minorEastAsia" w:hAnsiTheme="minorEastAsia" w:cstheme="minorEastAsia"/>
          <w:sz w:val="24"/>
          <w:szCs w:val="20"/>
        </w:rPr>
        <w:t xml:space="preserve">20</w:t>
      </w: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lang w:val="zh-CN"/>
        </w:rPr>
        <w:t xml:space="preserve">《政务信息系统密码应用与安全性评估工作指南》</w:t>
      </w:r>
      <w:r/>
    </w:p>
    <w:p>
      <w:pPr>
        <w:ind w:firstLine="480"/>
        <w:jc w:val="left"/>
        <w:spacing w:line="560" w:lineRule="exact"/>
        <w:widowControl/>
        <w:rPr>
          <w:rFonts w:hint="eastAsia" w:asciiTheme="minorEastAsia" w:hAnsiTheme="minorEastAsia" w:cstheme="minorEastAsia"/>
          <w:sz w:val="24"/>
          <w:szCs w:val="20"/>
          <w:lang w:val="zh-CN"/>
        </w:rPr>
      </w:pPr>
      <w:r>
        <w:rPr>
          <w:rFonts w:asciiTheme="minorEastAsia" w:hAnsiTheme="minorEastAsia" w:cstheme="minorEastAsia"/>
          <w:sz w:val="24"/>
          <w:szCs w:val="20"/>
        </w:rPr>
        <w:t xml:space="preserve">21</w:t>
      </w:r>
      <w:r>
        <w:rPr>
          <w:rFonts w:hint="eastAsia" w:asciiTheme="minorEastAsia" w:hAnsiTheme="minorEastAsia" w:cstheme="minorEastAsia"/>
          <w:sz w:val="24"/>
          <w:szCs w:val="20"/>
        </w:rPr>
        <w:t xml:space="preserve">、</w:t>
      </w:r>
      <w:r>
        <w:rPr>
          <w:rFonts w:hint="eastAsia" w:asciiTheme="minorEastAsia" w:hAnsiTheme="minorEastAsia" w:cstheme="minorEastAsia"/>
          <w:sz w:val="24"/>
          <w:szCs w:val="20"/>
          <w:lang w:val="zh-CN"/>
        </w:rPr>
        <w:t xml:space="preserve">《商用密码应用安全性评估量化评估规则》</w:t>
      </w:r>
      <w:r/>
    </w:p>
    <w:p>
      <w:pPr>
        <w:ind w:firstLine="482"/>
        <w:jc w:val="left"/>
        <w:spacing w:line="400" w:lineRule="exact"/>
        <w:widowControl/>
        <w:rPr>
          <w:rFonts w:ascii="Times New Roman" w:hAnsi="Times New Roman" w:cs="Times New Roman"/>
          <w:b/>
          <w:bCs/>
          <w:sz w:val="24"/>
          <w:szCs w:val="20"/>
          <w:lang w:val="zh-CN"/>
        </w:rPr>
        <w:outlineLvl w:val="3"/>
      </w:pPr>
      <w:r>
        <w:rPr>
          <w:rFonts w:hint="eastAsia" w:ascii="Times New Roman" w:hAnsi="Times New Roman" w:cs="Times New Roman"/>
          <w:b/>
          <w:bCs/>
          <w:sz w:val="24"/>
          <w:szCs w:val="20"/>
        </w:rPr>
        <w:t xml:space="preserve">（二）</w:t>
      </w:r>
      <w:r>
        <w:rPr>
          <w:rFonts w:hint="eastAsia" w:ascii="Times New Roman" w:hAnsi="Times New Roman" w:cs="Times New Roman"/>
          <w:b/>
          <w:bCs/>
          <w:sz w:val="24"/>
          <w:szCs w:val="20"/>
          <w:lang w:val="zh-CN"/>
        </w:rPr>
        <w:t xml:space="preserve">工作内容</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本次采购的内容为盐城市“公共数据平台”数据安全和治理应用功能模块建设升级项目商用密码应用安全性评估服务，从物理和环境安全、网络和通信安全、设备和计算安全、应用和数据安全四个层面评估密码应用安全性，评估内容包括密码应用安全性评估、密钥管理测评、安全管理评估、评估报告编制、密码安全培训等五部分内容，推动系统符合商用密码应用安全性要求。</w:t>
      </w:r>
      <w:r/>
    </w:p>
    <w:p>
      <w:pPr>
        <w:ind w:firstLine="482"/>
        <w:jc w:val="left"/>
        <w:spacing w:line="400" w:lineRule="exact"/>
        <w:widowControl/>
        <w:rPr>
          <w:rFonts w:ascii="Times New Roman" w:hAnsi="Times New Roman" w:cs="Times New Roman"/>
          <w:b/>
          <w:bCs/>
          <w:sz w:val="24"/>
          <w:szCs w:val="20"/>
          <w:lang w:val="zh-CN"/>
        </w:rPr>
        <w:outlineLvl w:val="3"/>
      </w:pPr>
      <w:r>
        <w:rPr>
          <w:rFonts w:hint="eastAsia" w:ascii="Times New Roman" w:hAnsi="Times New Roman" w:cs="Times New Roman"/>
          <w:b/>
          <w:bCs/>
          <w:sz w:val="24"/>
          <w:szCs w:val="20"/>
        </w:rPr>
        <w:t xml:space="preserve">（三）</w:t>
      </w:r>
      <w:r>
        <w:rPr>
          <w:rFonts w:hint="eastAsia" w:ascii="Times New Roman" w:hAnsi="Times New Roman" w:cs="Times New Roman"/>
          <w:b/>
          <w:bCs/>
          <w:sz w:val="24"/>
          <w:szCs w:val="20"/>
          <w:lang w:val="zh-CN"/>
        </w:rPr>
        <w:t xml:space="preserve">评估过程要求</w:t>
      </w:r>
      <w:r/>
    </w:p>
    <w:p>
      <w:pPr>
        <w:ind w:firstLine="480"/>
        <w:jc w:val="left"/>
        <w:spacing w:line="560" w:lineRule="exact"/>
        <w:widowControl/>
        <w:rPr>
          <w:rFonts w:hint="eastAsia" w:asciiTheme="minorEastAsia" w:hAnsiTheme="minorEastAsia" w:cstheme="minorEastAsia"/>
          <w:sz w:val="24"/>
          <w:szCs w:val="20"/>
        </w:rPr>
      </w:pPr>
      <w:r>
        <w:rPr>
          <w:rFonts w:asciiTheme="minorEastAsia" w:hAnsiTheme="minorEastAsia" w:cstheme="minorEastAsia"/>
          <w:sz w:val="24"/>
          <w:szCs w:val="20"/>
        </w:rPr>
        <w:t xml:space="preserve">1</w:t>
      </w:r>
      <w:r>
        <w:rPr>
          <w:rFonts w:hint="eastAsia" w:asciiTheme="minorEastAsia" w:hAnsiTheme="minorEastAsia" w:cstheme="minorEastAsia"/>
          <w:sz w:val="24"/>
          <w:szCs w:val="20"/>
        </w:rPr>
        <w:t xml:space="preserve">.测评准备</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通过需求沟通调研对密评的组织实施流程、时间节点等基础信息进行沟通审核，确认服务需求和工作需求。</w:t>
      </w:r>
      <w:r/>
    </w:p>
    <w:p>
      <w:pPr>
        <w:ind w:firstLine="480"/>
        <w:jc w:val="left"/>
        <w:spacing w:line="560" w:lineRule="exact"/>
        <w:widowControl/>
        <w:rPr>
          <w:rFonts w:hint="eastAsia" w:asciiTheme="minorEastAsia" w:hAnsiTheme="minorEastAsia" w:cstheme="minorEastAsia"/>
          <w:sz w:val="24"/>
          <w:szCs w:val="20"/>
        </w:rPr>
      </w:pPr>
      <w:r>
        <w:rPr>
          <w:rFonts w:asciiTheme="minorEastAsia" w:hAnsiTheme="minorEastAsia" w:cstheme="minorEastAsia"/>
          <w:sz w:val="24"/>
          <w:szCs w:val="20"/>
        </w:rPr>
        <w:t xml:space="preserve">2</w:t>
      </w:r>
      <w:r>
        <w:rPr>
          <w:rFonts w:hint="eastAsia" w:asciiTheme="minorEastAsia" w:hAnsiTheme="minorEastAsia" w:cstheme="minorEastAsia"/>
          <w:sz w:val="24"/>
          <w:szCs w:val="20"/>
        </w:rPr>
        <w:t xml:space="preserve">.方案编制</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按照评估准备实施的工作要求，与各业务系统技术团队和保障团队沟通评估所需基础素材、文档等必要信息，编制测评方案。</w:t>
      </w:r>
      <w:r/>
    </w:p>
    <w:p>
      <w:pPr>
        <w:ind w:firstLine="480"/>
        <w:jc w:val="left"/>
        <w:spacing w:line="560" w:lineRule="exact"/>
        <w:widowControl/>
        <w:rPr>
          <w:rFonts w:hint="eastAsia" w:asciiTheme="minorEastAsia" w:hAnsiTheme="minorEastAsia" w:cstheme="minorEastAsia"/>
          <w:sz w:val="24"/>
          <w:szCs w:val="20"/>
        </w:rPr>
      </w:pPr>
      <w:r>
        <w:rPr>
          <w:rFonts w:asciiTheme="minorEastAsia" w:hAnsiTheme="minorEastAsia" w:cstheme="minorEastAsia"/>
          <w:sz w:val="24"/>
          <w:szCs w:val="20"/>
        </w:rPr>
        <w:t xml:space="preserve">3</w:t>
      </w:r>
      <w:r>
        <w:rPr>
          <w:rFonts w:hint="eastAsia" w:asciiTheme="minorEastAsia" w:hAnsiTheme="minorEastAsia" w:cstheme="minorEastAsia"/>
          <w:sz w:val="24"/>
          <w:szCs w:val="20"/>
        </w:rPr>
        <w:t xml:space="preserve">.现场测评</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在系统真实环境下进行评估，以评估密码保障是否安全有效，密码使用是否合规、正确、有效，并通过评估发现系统存在的安全隐患和风险，提出可行性完善建议。</w:t>
      </w:r>
      <w:r/>
    </w:p>
    <w:p>
      <w:pPr>
        <w:ind w:firstLine="480"/>
        <w:jc w:val="left"/>
        <w:spacing w:line="560" w:lineRule="exact"/>
        <w:widowControl/>
        <w:rPr>
          <w:rFonts w:hint="eastAsia" w:asciiTheme="minorEastAsia" w:hAnsiTheme="minorEastAsia" w:cstheme="minorEastAsia"/>
          <w:sz w:val="24"/>
          <w:szCs w:val="20"/>
        </w:rPr>
      </w:pPr>
      <w:r>
        <w:rPr>
          <w:rFonts w:asciiTheme="minorEastAsia" w:hAnsiTheme="minorEastAsia" w:cstheme="minorEastAsia"/>
          <w:sz w:val="24"/>
          <w:szCs w:val="20"/>
        </w:rPr>
        <w:t xml:space="preserve">4</w:t>
      </w:r>
      <w:r>
        <w:rPr>
          <w:rFonts w:hint="eastAsia" w:asciiTheme="minorEastAsia" w:hAnsiTheme="minorEastAsia" w:cstheme="minorEastAsia"/>
          <w:sz w:val="24"/>
          <w:szCs w:val="20"/>
        </w:rPr>
        <w:t xml:space="preserve">.出具报告</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根据评估要求，交付成果须至少包括《商用密码应用方案评估报告》、《商用密码应用安全性评估报告》等，其余根据采购人要求出具。</w:t>
      </w:r>
      <w:r/>
    </w:p>
    <w:p>
      <w:pPr>
        <w:ind w:left="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5.其他要求</w:t>
      </w:r>
      <w:r/>
    </w:p>
    <w:p>
      <w:pPr>
        <w:ind w:firstLine="480"/>
        <w:jc w:val="left"/>
        <w:spacing w:line="560" w:lineRule="exact"/>
        <w:widowControl/>
        <w:rPr>
          <w:rFonts w:hint="eastAsia" w:ascii="宋体" w:hAnsi="宋体" w:eastAsia="宋体" w:cs="宋体"/>
          <w:b/>
          <w:bCs/>
          <w:sz w:val="24"/>
          <w:szCs w:val="20"/>
        </w:rPr>
      </w:pPr>
      <w:r>
        <w:rPr>
          <w:rFonts w:hint="eastAsia" w:asciiTheme="minorEastAsia" w:hAnsiTheme="minorEastAsia" w:cstheme="minorEastAsia"/>
          <w:sz w:val="24"/>
          <w:szCs w:val="20"/>
        </w:rPr>
        <w:t xml:space="preserve">根据被评估单位项目需求，协助完善密码应用方案，提供相关密码应用安全性技术咨询服务，协助采购人完成信息系统密码应用安全性整改，提供科学、合理、有效的建议并及时跟进服务。</w:t>
      </w:r>
      <w:r/>
    </w:p>
    <w:p>
      <w:pPr>
        <w:ind w:firstLine="482"/>
        <w:jc w:val="left"/>
        <w:spacing w:line="560" w:lineRule="exact"/>
        <w:widowControl/>
        <w:rPr>
          <w:rFonts w:hint="eastAsia" w:ascii="宋体" w:hAnsi="宋体" w:eastAsia="宋体" w:cs="宋体"/>
          <w:b/>
          <w:bCs/>
          <w:sz w:val="24"/>
          <w:szCs w:val="20"/>
        </w:rPr>
        <w:outlineLvl w:val="2"/>
      </w:pPr>
      <w:r>
        <w:rPr>
          <w:rFonts w:hint="eastAsia" w:ascii="宋体" w:hAnsi="宋体" w:eastAsia="宋体" w:cs="宋体"/>
          <w:b/>
          <w:bCs/>
          <w:sz w:val="24"/>
          <w:szCs w:val="20"/>
        </w:rPr>
        <w:t xml:space="preserve">二、商务要求</w:t>
      </w:r>
      <w:r/>
    </w:p>
    <w:p>
      <w:pPr>
        <w:ind w:firstLine="480"/>
        <w:jc w:val="left"/>
        <w:spacing w:line="560" w:lineRule="exact"/>
        <w:widowControl/>
        <w:rPr>
          <w:rFonts w:hint="eastAsia" w:asciiTheme="minorEastAsia" w:hAnsiTheme="minorEastAsia" w:cstheme="minorEastAsia"/>
          <w:sz w:val="24"/>
          <w:szCs w:val="20"/>
        </w:rPr>
      </w:pPr>
      <w:r>
        <w:rPr>
          <w:rFonts w:asciiTheme="minorEastAsia" w:hAnsiTheme="minorEastAsia" w:cstheme="minorEastAsia"/>
          <w:sz w:val="24"/>
          <w:szCs w:val="20"/>
        </w:rPr>
        <w:t xml:space="preserve">1</w:t>
      </w:r>
      <w:r>
        <w:rPr>
          <w:rFonts w:hint="eastAsia" w:asciiTheme="minorEastAsia" w:hAnsiTheme="minorEastAsia" w:cstheme="minorEastAsia"/>
          <w:sz w:val="24"/>
          <w:szCs w:val="20"/>
        </w:rPr>
        <w:t xml:space="preserve">、服务周期</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采购人通知启动测评工作后</w:t>
      </w:r>
      <w:r>
        <w:rPr>
          <w:rFonts w:asciiTheme="minorEastAsia" w:hAnsiTheme="minorEastAsia" w:cstheme="minorEastAsia"/>
          <w:sz w:val="24"/>
          <w:szCs w:val="20"/>
        </w:rPr>
        <w:t xml:space="preserve">60</w:t>
      </w:r>
      <w:r>
        <w:rPr>
          <w:rFonts w:hint="eastAsia" w:asciiTheme="minorEastAsia" w:hAnsiTheme="minorEastAsia" w:cstheme="minorEastAsia"/>
          <w:sz w:val="24"/>
          <w:szCs w:val="20"/>
        </w:rPr>
        <w:t xml:space="preserve">个自然日内完成商用密码应用方案评估和测评工作。（如因采购人平台建设、整改导致时间延期，工期顺延）</w:t>
      </w:r>
      <w:r/>
    </w:p>
    <w:p>
      <w:pPr>
        <w:ind w:firstLine="480"/>
        <w:jc w:val="left"/>
        <w:spacing w:line="560" w:lineRule="exact"/>
        <w:widowControl/>
        <w:rPr>
          <w:rFonts w:hint="eastAsia" w:asciiTheme="minorEastAsia" w:hAnsiTheme="minorEastAsia" w:cstheme="minorEastAsia"/>
          <w:sz w:val="24"/>
          <w:szCs w:val="20"/>
        </w:rPr>
      </w:pPr>
      <w:r>
        <w:rPr>
          <w:rFonts w:asciiTheme="minorEastAsia" w:hAnsiTheme="minorEastAsia" w:cstheme="minorEastAsia"/>
          <w:sz w:val="24"/>
          <w:szCs w:val="20"/>
        </w:rPr>
        <w:t xml:space="preserve">2</w:t>
      </w:r>
      <w:r>
        <w:rPr>
          <w:rFonts w:hint="eastAsia" w:asciiTheme="minorEastAsia" w:hAnsiTheme="minorEastAsia" w:cstheme="minorEastAsia"/>
          <w:sz w:val="24"/>
          <w:szCs w:val="20"/>
        </w:rPr>
        <w:t xml:space="preserve">、服务地点</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根据采购人需求至指定服务地点开展工作。</w:t>
      </w:r>
      <w:r/>
    </w:p>
    <w:p>
      <w:pPr>
        <w:ind w:firstLine="480"/>
        <w:jc w:val="left"/>
        <w:spacing w:line="560" w:lineRule="exact"/>
        <w:widowControl/>
        <w:rPr>
          <w:rFonts w:hint="eastAsia" w:asciiTheme="minorEastAsia" w:hAnsiTheme="minorEastAsia" w:cstheme="minorEastAsia"/>
          <w:sz w:val="24"/>
          <w:szCs w:val="20"/>
        </w:rPr>
      </w:pPr>
      <w:r>
        <w:rPr>
          <w:rFonts w:asciiTheme="minorEastAsia" w:hAnsiTheme="minorEastAsia" w:cstheme="minorEastAsia"/>
          <w:sz w:val="24"/>
          <w:szCs w:val="20"/>
        </w:rPr>
        <w:t xml:space="preserve">3</w:t>
      </w:r>
      <w:r>
        <w:rPr>
          <w:rFonts w:hint="eastAsia" w:asciiTheme="minorEastAsia" w:hAnsiTheme="minorEastAsia" w:cstheme="minorEastAsia"/>
          <w:sz w:val="24"/>
          <w:szCs w:val="20"/>
        </w:rPr>
        <w:t xml:space="preserve">、服务验收</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中标</w:t>
      </w:r>
      <w:r>
        <w:rPr>
          <w:rFonts w:hint="eastAsia" w:asciiTheme="minorEastAsia" w:hAnsiTheme="minorEastAsia" w:cstheme="minorEastAsia"/>
          <w:sz w:val="24"/>
          <w:szCs w:val="20"/>
          <w:lang w:eastAsia="zh-CN"/>
        </w:rPr>
        <w:t xml:space="preserve">投标人</w:t>
      </w:r>
      <w:r>
        <w:rPr>
          <w:rFonts w:hint="eastAsia" w:asciiTheme="minorEastAsia" w:hAnsiTheme="minorEastAsia" w:cstheme="minorEastAsia"/>
          <w:sz w:val="24"/>
          <w:szCs w:val="20"/>
        </w:rPr>
        <w:t xml:space="preserve">完成合同约定的所有服务内容，提交《商用密码应用方案评估报告》、《商用密码应用安全性评估报告》，经采购人认可并向当地密码管理部门备案后，完成本项目的验收。</w:t>
      </w:r>
      <w:r/>
    </w:p>
    <w:p>
      <w:pPr>
        <w:ind w:firstLine="480"/>
        <w:jc w:val="left"/>
        <w:spacing w:line="560" w:lineRule="exact"/>
        <w:widowControl/>
        <w:rPr>
          <w:rFonts w:hint="eastAsia" w:asciiTheme="minorEastAsia" w:hAnsiTheme="minorEastAsia" w:cstheme="minorEastAsia"/>
          <w:sz w:val="24"/>
          <w:szCs w:val="20"/>
        </w:rPr>
      </w:pPr>
      <w:r>
        <w:rPr>
          <w:rFonts w:asciiTheme="minorEastAsia" w:hAnsiTheme="minorEastAsia" w:cstheme="minorEastAsia"/>
          <w:sz w:val="24"/>
          <w:szCs w:val="20"/>
        </w:rPr>
        <w:t xml:space="preserve">4</w:t>
      </w:r>
      <w:r>
        <w:rPr>
          <w:rFonts w:hint="eastAsia" w:asciiTheme="minorEastAsia" w:hAnsiTheme="minorEastAsia" w:cstheme="minorEastAsia"/>
          <w:sz w:val="24"/>
          <w:szCs w:val="20"/>
        </w:rPr>
        <w:t xml:space="preserve">、支付条款</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合同签订后，甲方在收到乙方票据并确认无误后，10个工作日内，支付预付款合同价的30%；</w:t>
      </w:r>
      <w:r/>
    </w:p>
    <w:p>
      <w:pPr>
        <w:ind w:firstLine="480"/>
        <w:jc w:val="left"/>
        <w:spacing w:line="560" w:lineRule="exact"/>
        <w:widowControl/>
        <w:rPr>
          <w:rFonts w:hint="eastAsia" w:asciiTheme="minorEastAsia" w:hAnsiTheme="minorEastAsia" w:cstheme="minorEastAsia"/>
          <w:sz w:val="24"/>
          <w:szCs w:val="20"/>
        </w:rPr>
      </w:pPr>
      <w:r>
        <w:rPr>
          <w:rFonts w:asciiTheme="minorEastAsia" w:hAnsiTheme="minorEastAsia" w:cstheme="minorEastAsia"/>
          <w:sz w:val="24"/>
          <w:szCs w:val="20"/>
        </w:rPr>
        <w:t xml:space="preserve">合同约定的所有服务内容完成，</w:t>
      </w:r>
      <w:r>
        <w:rPr>
          <w:rFonts w:hint="eastAsia" w:asciiTheme="minorEastAsia" w:hAnsiTheme="minorEastAsia" w:cstheme="minorEastAsia"/>
          <w:sz w:val="24"/>
          <w:szCs w:val="20"/>
        </w:rPr>
        <w:t xml:space="preserve">并提交《商用密码应用方案评估报告》《商用密码应用安全性评估报告》，</w:t>
      </w:r>
      <w:r>
        <w:rPr>
          <w:rFonts w:asciiTheme="minorEastAsia" w:hAnsiTheme="minorEastAsia" w:cstheme="minorEastAsia"/>
          <w:sz w:val="24"/>
          <w:szCs w:val="20"/>
        </w:rPr>
        <w:t xml:space="preserve">经</w:t>
      </w:r>
      <w:r>
        <w:rPr>
          <w:rFonts w:hint="eastAsia" w:asciiTheme="minorEastAsia" w:hAnsiTheme="minorEastAsia" w:cstheme="minorEastAsia"/>
          <w:sz w:val="24"/>
          <w:szCs w:val="20"/>
        </w:rPr>
        <w:t xml:space="preserve">终验通过</w:t>
      </w:r>
      <w:r>
        <w:rPr>
          <w:rFonts w:asciiTheme="minorEastAsia" w:hAnsiTheme="minorEastAsia" w:cstheme="minorEastAsia"/>
          <w:sz w:val="24"/>
          <w:szCs w:val="20"/>
        </w:rPr>
        <w:t xml:space="preserve">后，</w:t>
      </w:r>
      <w:r>
        <w:rPr>
          <w:rFonts w:hint="eastAsia" w:asciiTheme="minorEastAsia" w:hAnsiTheme="minorEastAsia" w:cstheme="minorEastAsia"/>
          <w:sz w:val="24"/>
          <w:szCs w:val="20"/>
        </w:rPr>
        <w:t xml:space="preserve">甲方在收到乙方票据并确认无误后，10个工作日内，支付合同价的70%。</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5、其他要求</w:t>
      </w:r>
      <w:r/>
    </w:p>
    <w:p>
      <w:pPr>
        <w:ind w:firstLine="482"/>
        <w:jc w:val="left"/>
        <w:spacing w:line="560" w:lineRule="exact"/>
        <w:widowControl/>
        <w:rPr>
          <w:rFonts w:ascii="宋体" w:hAnsi="宋体" w:eastAsia="Arial" w:cs="宋体"/>
          <w:b/>
          <w:bCs/>
          <w:i/>
          <w:iCs/>
          <w:sz w:val="24"/>
          <w:szCs w:val="20"/>
          <w:u w:val="single"/>
        </w:rPr>
      </w:pPr>
      <w:r>
        <w:rPr>
          <w:rFonts w:hint="eastAsia" w:ascii="宋体" w:hAnsi="宋体" w:eastAsia="Arial" w:cs="宋体"/>
          <w:b/>
          <w:bCs/>
          <w:i/>
          <w:iCs/>
          <w:sz w:val="24"/>
          <w:szCs w:val="20"/>
          <w:u w:val="single"/>
        </w:rPr>
        <w:t xml:space="preserve">★</w:t>
      </w:r>
      <w:r>
        <w:rPr>
          <w:rFonts w:hint="eastAsia" w:ascii="宋体" w:hAnsi="宋体" w:eastAsia="宋体" w:cs="宋体"/>
          <w:b/>
          <w:bCs/>
          <w:i/>
          <w:iCs/>
          <w:sz w:val="24"/>
          <w:szCs w:val="20"/>
          <w:u w:val="single"/>
        </w:rPr>
        <w:t xml:space="preserve">（</w:t>
      </w:r>
      <w:r>
        <w:rPr>
          <w:rFonts w:hint="eastAsia" w:ascii="宋体" w:hAnsi="宋体" w:eastAsia="Arial" w:cs="宋体"/>
          <w:b/>
          <w:bCs/>
          <w:i/>
          <w:iCs/>
          <w:sz w:val="24"/>
          <w:szCs w:val="20"/>
          <w:u w:val="single"/>
        </w:rPr>
        <w:t xml:space="preserve">1</w:t>
      </w:r>
      <w:r>
        <w:rPr>
          <w:rFonts w:hint="eastAsia" w:ascii="宋体" w:hAnsi="宋体" w:eastAsia="宋体" w:cs="宋体"/>
          <w:b/>
          <w:bCs/>
          <w:i/>
          <w:iCs/>
          <w:sz w:val="24"/>
          <w:szCs w:val="20"/>
          <w:u w:val="single"/>
        </w:rPr>
        <w:t xml:space="preserve">）所有招标要求条款</w:t>
      </w:r>
      <w:r>
        <w:rPr>
          <w:rFonts w:hint="eastAsia" w:ascii="宋体" w:hAnsi="宋体" w:eastAsia="宋体" w:cs="宋体"/>
          <w:b/>
          <w:bCs/>
          <w:i/>
          <w:iCs/>
          <w:sz w:val="24"/>
          <w:szCs w:val="20"/>
          <w:u w:val="single"/>
          <w:lang w:eastAsia="zh-CN"/>
        </w:rPr>
        <w:t xml:space="preserve">投标人</w:t>
      </w:r>
      <w:r>
        <w:rPr>
          <w:rFonts w:hint="eastAsia" w:ascii="宋体" w:hAnsi="宋体" w:eastAsia="宋体" w:cs="宋体"/>
          <w:b/>
          <w:bCs/>
          <w:i/>
          <w:iCs/>
          <w:sz w:val="24"/>
          <w:szCs w:val="20"/>
          <w:u w:val="single"/>
        </w:rPr>
        <w:t xml:space="preserve">均必须如实反映响应或偏离情况，如</w:t>
      </w:r>
      <w:r>
        <w:rPr>
          <w:rFonts w:hint="eastAsia" w:ascii="宋体" w:hAnsi="宋体" w:eastAsia="宋体" w:cs="宋体"/>
          <w:b/>
          <w:bCs/>
          <w:i/>
          <w:iCs/>
          <w:sz w:val="24"/>
          <w:szCs w:val="20"/>
          <w:u w:val="single"/>
          <w:lang w:eastAsia="zh-CN"/>
        </w:rPr>
        <w:t xml:space="preserve">投标人</w:t>
      </w:r>
      <w:r>
        <w:rPr>
          <w:rFonts w:hint="eastAsia" w:ascii="宋体" w:hAnsi="宋体" w:eastAsia="宋体" w:cs="宋体"/>
          <w:b/>
          <w:bCs/>
          <w:i/>
          <w:iCs/>
          <w:sz w:val="24"/>
          <w:szCs w:val="20"/>
          <w:u w:val="single"/>
        </w:rPr>
        <w:t xml:space="preserve">虚假响应招标文件要求，则一切后果由</w:t>
      </w:r>
      <w:r>
        <w:rPr>
          <w:rFonts w:hint="eastAsia" w:ascii="宋体" w:hAnsi="宋体" w:eastAsia="宋体" w:cs="宋体"/>
          <w:b/>
          <w:bCs/>
          <w:i/>
          <w:iCs/>
          <w:sz w:val="24"/>
          <w:szCs w:val="20"/>
          <w:u w:val="single"/>
          <w:lang w:eastAsia="zh-CN"/>
        </w:rPr>
        <w:t xml:space="preserve">投标人</w:t>
      </w:r>
      <w:r>
        <w:rPr>
          <w:rFonts w:hint="eastAsia" w:ascii="宋体" w:hAnsi="宋体" w:eastAsia="宋体" w:cs="宋体"/>
          <w:b/>
          <w:bCs/>
          <w:i/>
          <w:iCs/>
          <w:sz w:val="24"/>
          <w:szCs w:val="20"/>
          <w:u w:val="single"/>
        </w:rPr>
        <w:t xml:space="preserve">自行承担。</w:t>
      </w:r>
      <w:r>
        <w:rPr>
          <w:rFonts w:hint="eastAsia" w:ascii="宋体" w:hAnsi="宋体" w:eastAsia="宋体" w:cs="宋体"/>
          <w:b/>
          <w:bCs/>
          <w:i/>
          <w:iCs/>
          <w:sz w:val="24"/>
          <w:szCs w:val="20"/>
          <w:u w:val="single"/>
          <w:lang w:eastAsia="zh-CN"/>
        </w:rPr>
        <w:t xml:space="preserve">采购人</w:t>
      </w:r>
      <w:r>
        <w:rPr>
          <w:rFonts w:hint="eastAsia" w:ascii="宋体" w:hAnsi="宋体" w:eastAsia="宋体" w:cs="宋体"/>
          <w:b/>
          <w:bCs/>
          <w:i/>
          <w:iCs/>
          <w:sz w:val="24"/>
          <w:szCs w:val="20"/>
          <w:u w:val="single"/>
        </w:rPr>
        <w:t xml:space="preserve">保留追究法律责任的权利。（投标人须出具承诺函，</w:t>
      </w:r>
      <w:r>
        <w:rPr>
          <w:rFonts w:hint="eastAsia" w:ascii="宋体" w:hAnsi="宋体" w:eastAsia="宋体" w:cs="宋体"/>
          <w:b/>
          <w:bCs/>
          <w:i/>
          <w:iCs/>
          <w:sz w:val="24"/>
          <w:szCs w:val="20"/>
          <w:u w:val="single"/>
          <w:lang w:val="en-US" w:eastAsia="zh-CN"/>
        </w:rPr>
        <w:t xml:space="preserve">承诺函自制</w:t>
      </w:r>
      <w:r>
        <w:rPr>
          <w:rFonts w:hint="eastAsia" w:ascii="宋体" w:hAnsi="宋体" w:eastAsia="宋体" w:cs="宋体"/>
          <w:b/>
          <w:bCs/>
          <w:i/>
          <w:iCs/>
          <w:sz w:val="24"/>
          <w:szCs w:val="20"/>
          <w:u w:val="single"/>
          <w:lang w:eastAsia="zh-CN"/>
        </w:rPr>
        <w:t xml:space="preserve">，</w:t>
      </w:r>
      <w:r>
        <w:rPr>
          <w:rFonts w:hint="eastAsia" w:ascii="宋体" w:hAnsi="宋体" w:eastAsia="宋体" w:cs="宋体"/>
          <w:b/>
          <w:bCs/>
          <w:i/>
          <w:iCs/>
          <w:sz w:val="24"/>
          <w:szCs w:val="20"/>
          <w:u w:val="single"/>
        </w:rPr>
        <w:t xml:space="preserve">并加盖投标人公章）</w:t>
      </w:r>
      <w:r/>
    </w:p>
    <w:p>
      <w:pPr>
        <w:ind w:firstLine="482"/>
        <w:jc w:val="left"/>
        <w:spacing w:line="560" w:lineRule="exact"/>
        <w:widowControl/>
        <w:rPr>
          <w:rFonts w:ascii="宋体" w:hAnsi="宋体" w:eastAsia="Arial" w:cs="宋体"/>
          <w:b/>
          <w:bCs/>
          <w:i/>
          <w:iCs/>
          <w:sz w:val="24"/>
          <w:szCs w:val="20"/>
          <w:u w:val="single"/>
        </w:rPr>
      </w:pPr>
      <w:r>
        <w:rPr>
          <w:rFonts w:hint="eastAsia" w:ascii="宋体" w:hAnsi="宋体" w:eastAsia="Arial" w:cs="宋体"/>
          <w:b/>
          <w:bCs/>
          <w:i/>
          <w:iCs/>
          <w:sz w:val="24"/>
          <w:szCs w:val="20"/>
          <w:u w:val="single"/>
        </w:rPr>
        <w:t xml:space="preserve">★</w:t>
      </w:r>
      <w:r>
        <w:rPr>
          <w:rFonts w:hint="eastAsia" w:ascii="宋体" w:hAnsi="宋体" w:eastAsia="宋体" w:cs="宋体"/>
          <w:b/>
          <w:bCs/>
          <w:i/>
          <w:iCs/>
          <w:sz w:val="24"/>
          <w:szCs w:val="20"/>
          <w:u w:val="single"/>
        </w:rPr>
        <w:t xml:space="preserve">（</w:t>
      </w:r>
      <w:r>
        <w:rPr>
          <w:rFonts w:hint="eastAsia" w:ascii="宋体" w:hAnsi="宋体" w:eastAsia="Arial" w:cs="宋体"/>
          <w:b/>
          <w:bCs/>
          <w:i/>
          <w:iCs/>
          <w:sz w:val="24"/>
          <w:szCs w:val="20"/>
          <w:u w:val="single"/>
        </w:rPr>
        <w:t xml:space="preserve">2</w:t>
      </w:r>
      <w:r>
        <w:rPr>
          <w:rFonts w:hint="eastAsia" w:ascii="宋体" w:hAnsi="宋体" w:eastAsia="宋体" w:cs="宋体"/>
          <w:b/>
          <w:bCs/>
          <w:i/>
          <w:iCs/>
          <w:sz w:val="24"/>
          <w:szCs w:val="20"/>
          <w:u w:val="single"/>
        </w:rPr>
        <w:t xml:space="preserve">）</w:t>
      </w:r>
      <w:r>
        <w:rPr>
          <w:rFonts w:hint="eastAsia" w:ascii="宋体" w:hAnsi="宋体" w:eastAsia="宋体" w:cs="宋体"/>
          <w:b/>
          <w:bCs/>
          <w:i/>
          <w:iCs/>
          <w:sz w:val="24"/>
          <w:szCs w:val="20"/>
          <w:u w:val="single"/>
          <w:lang w:eastAsia="zh-CN"/>
        </w:rPr>
        <w:t xml:space="preserve">投标人</w:t>
      </w:r>
      <w:r>
        <w:rPr>
          <w:rFonts w:hint="eastAsia" w:ascii="宋体" w:hAnsi="宋体" w:eastAsia="宋体" w:cs="宋体"/>
          <w:b/>
          <w:bCs/>
          <w:i/>
          <w:iCs/>
          <w:sz w:val="24"/>
          <w:szCs w:val="20"/>
          <w:u w:val="single"/>
        </w:rPr>
        <w:t xml:space="preserve">需在投标之前充分调研盐城市现有公共数据平台及相关关联系统现状，所投的报价含后续服务一切费用，即甲方不再另行支付其他费用。（投标人须出具承诺函，</w:t>
      </w:r>
      <w:r>
        <w:rPr>
          <w:rFonts w:hint="eastAsia" w:ascii="宋体" w:hAnsi="宋体" w:eastAsia="宋体" w:cs="宋体"/>
          <w:b/>
          <w:bCs/>
          <w:i/>
          <w:iCs/>
          <w:sz w:val="24"/>
          <w:szCs w:val="20"/>
          <w:u w:val="single"/>
          <w:lang w:val="en-US" w:eastAsia="zh-CN"/>
        </w:rPr>
        <w:t xml:space="preserve">承诺函自制</w:t>
      </w:r>
      <w:r>
        <w:rPr>
          <w:rFonts w:hint="eastAsia" w:ascii="宋体" w:hAnsi="宋体" w:eastAsia="宋体" w:cs="宋体"/>
          <w:b/>
          <w:bCs/>
          <w:i/>
          <w:iCs/>
          <w:sz w:val="24"/>
          <w:szCs w:val="20"/>
          <w:u w:val="single"/>
          <w:lang w:eastAsia="zh-CN"/>
        </w:rPr>
        <w:t xml:space="preserve">，</w:t>
      </w:r>
      <w:r>
        <w:rPr>
          <w:rFonts w:hint="eastAsia" w:ascii="宋体" w:hAnsi="宋体" w:eastAsia="宋体" w:cs="宋体"/>
          <w:b/>
          <w:bCs/>
          <w:i/>
          <w:iCs/>
          <w:sz w:val="24"/>
          <w:szCs w:val="20"/>
          <w:u w:val="single"/>
        </w:rPr>
        <w:t xml:space="preserve">并加盖投标人公章）</w:t>
      </w:r>
      <w:r/>
    </w:p>
    <w:p>
      <w:pPr>
        <w:ind w:firstLine="482"/>
        <w:jc w:val="left"/>
        <w:spacing w:line="560" w:lineRule="exact"/>
        <w:widowControl/>
        <w:rPr>
          <w:rFonts w:hint="eastAsia" w:ascii="宋体" w:hAnsi="宋体" w:eastAsia="宋体" w:cs="宋体"/>
          <w:sz w:val="24"/>
          <w:szCs w:val="20"/>
        </w:rPr>
      </w:pPr>
      <w:r>
        <w:rPr>
          <w:rFonts w:hint="eastAsia" w:ascii="宋体" w:hAnsi="宋体" w:eastAsia="Arial" w:cs="宋体"/>
          <w:b/>
          <w:bCs/>
          <w:i/>
          <w:iCs/>
          <w:sz w:val="24"/>
          <w:szCs w:val="20"/>
          <w:u w:val="single"/>
        </w:rPr>
        <w:t xml:space="preserve">注：本项目招标文件中标注★为实质性要求，不允许负偏离，否则为无效投标。</w:t>
      </w:r>
      <w:r/>
    </w:p>
    <w:p>
      <w:pPr>
        <w:ind w:firstLine="482"/>
        <w:jc w:val="left"/>
        <w:spacing w:line="560" w:lineRule="exact"/>
        <w:widowControl/>
        <w:rPr>
          <w:rFonts w:hint="eastAsia" w:ascii="宋体" w:hAnsi="宋体" w:eastAsia="宋体" w:cs="宋体"/>
          <w:b/>
          <w:bCs/>
          <w:sz w:val="24"/>
          <w:szCs w:val="20"/>
        </w:rPr>
        <w:outlineLvl w:val="2"/>
      </w:pPr>
      <w:r>
        <w:rPr>
          <w:rFonts w:hint="eastAsia" w:ascii="宋体" w:hAnsi="宋体" w:eastAsia="宋体" w:cs="宋体"/>
          <w:b/>
          <w:bCs/>
          <w:sz w:val="24"/>
          <w:szCs w:val="20"/>
        </w:rPr>
        <w:t xml:space="preserve">三、技术方案</w:t>
      </w:r>
      <w:r/>
    </w:p>
    <w:p>
      <w:pPr>
        <w:ind w:firstLine="482"/>
        <w:jc w:val="left"/>
        <w:spacing w:line="560" w:lineRule="exact"/>
        <w:widowControl/>
        <w:rPr>
          <w:rFonts w:hint="eastAsia" w:eastAsia="宋体" w:asciiTheme="minorEastAsia" w:hAnsiTheme="minorEastAsia" w:cstheme="minorEastAsia"/>
          <w:sz w:val="24"/>
          <w:szCs w:val="20"/>
        </w:rPr>
      </w:pPr>
      <w:r>
        <w:rPr>
          <w:rFonts w:hint="eastAsia" w:ascii="宋体" w:hAnsi="宋体" w:eastAsia="Arial" w:cs="宋体"/>
          <w:sz w:val="24"/>
          <w:szCs w:val="20"/>
        </w:rPr>
        <w:t xml:space="preserve">投标人应根据采购需求和本项目实际，制订相应的方案，方案应至少包含</w:t>
      </w:r>
      <w:r>
        <w:rPr>
          <w:rFonts w:hint="eastAsia" w:ascii="宋体" w:hAnsi="宋体" w:eastAsia="宋体" w:cs="宋体"/>
          <w:sz w:val="24"/>
          <w:szCs w:val="20"/>
        </w:rPr>
        <w:t xml:space="preserve">：</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（一）密码应用安全性评估实施要求</w:t>
      </w:r>
      <w:r/>
    </w:p>
    <w:p>
      <w:pPr>
        <w:ind w:firstLine="480"/>
        <w:jc w:val="left"/>
        <w:spacing w:line="560" w:lineRule="exact"/>
        <w:widowControl/>
        <w:rPr>
          <w:rFonts w:hint="eastAsia" w:asciiTheme="minorEastAsia" w:hAnsiTheme="minorEastAsia" w:cstheme="minorEastAsia"/>
          <w:sz w:val="24"/>
          <w:szCs w:val="20"/>
        </w:rPr>
      </w:pPr>
      <w:r>
        <w:rPr>
          <w:rFonts w:hint="eastAsia" w:ascii="宋体" w:hAnsi="宋体" w:eastAsia="Arial" w:cs="宋体"/>
          <w:sz w:val="24"/>
          <w:szCs w:val="20"/>
        </w:rPr>
        <w:t xml:space="preserve">方案应至少包含</w:t>
      </w:r>
      <w:r>
        <w:rPr>
          <w:rFonts w:hint="eastAsia" w:asciiTheme="minorEastAsia" w:hAnsiTheme="minorEastAsia" w:cstheme="minorEastAsia"/>
          <w:sz w:val="24"/>
          <w:szCs w:val="20"/>
        </w:rPr>
        <w:t xml:space="preserve">物理和环境安全评估、网络和通信安全评估、设备和计算安全评估、应用和数据安全评估等实施内容。评估验证项目的商用密码应用是否达到具有相应安全等级的安全保护能力，是否满足相应安全等级的保护要求。</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（二）密钥管理测评实施要求</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评估信息系统密钥管理各环节是否符合要求，</w:t>
      </w:r>
      <w:r>
        <w:rPr>
          <w:rFonts w:hint="eastAsia" w:ascii="宋体" w:hAnsi="宋体" w:eastAsia="Arial" w:cs="宋体"/>
          <w:sz w:val="24"/>
          <w:szCs w:val="20"/>
        </w:rPr>
        <w:t xml:space="preserve">方案应至少包含</w:t>
      </w:r>
      <w:r>
        <w:rPr>
          <w:rFonts w:hint="eastAsia" w:asciiTheme="minorEastAsia" w:hAnsiTheme="minorEastAsia" w:cstheme="minorEastAsia"/>
          <w:sz w:val="24"/>
          <w:szCs w:val="20"/>
        </w:rPr>
        <w:t xml:space="preserve">对密钥的生成、存储、分发、导入、导出、使用、备份、恢复、归档与销毁等环节的测评。</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（三）安全管理评估实施要求</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评估被测评项目的制度、人员、实施和应急等四个方面安全管理内容，协助</w:t>
      </w:r>
      <w:r>
        <w:rPr>
          <w:rFonts w:hint="eastAsia" w:asciiTheme="minorEastAsia" w:hAnsiTheme="minorEastAsia" w:cstheme="minorEastAsia"/>
          <w:sz w:val="24"/>
          <w:szCs w:val="20"/>
          <w:lang w:eastAsia="zh-CN"/>
        </w:rPr>
        <w:t xml:space="preserve">采购人</w:t>
      </w:r>
      <w:r>
        <w:rPr>
          <w:rFonts w:hint="eastAsia" w:asciiTheme="minorEastAsia" w:hAnsiTheme="minorEastAsia" w:cstheme="minorEastAsia"/>
          <w:sz w:val="24"/>
          <w:szCs w:val="20"/>
        </w:rPr>
        <w:t xml:space="preserve">开展商用密码应用安全性管理制度以及和商用密码相关的系统运维管理制度设计。</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（四）评估报告编制要求</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针对被评估项目编制密码应用安全性评估报告，报告按照国家密码管理局要求包含的内容编制或参考模板编制。协助</w:t>
      </w:r>
      <w:r>
        <w:rPr>
          <w:rFonts w:hint="eastAsia" w:asciiTheme="minorEastAsia" w:hAnsiTheme="minorEastAsia" w:cstheme="minorEastAsia"/>
          <w:sz w:val="24"/>
          <w:szCs w:val="20"/>
          <w:lang w:eastAsia="zh-CN"/>
        </w:rPr>
        <w:t xml:space="preserve">采购人</w:t>
      </w:r>
      <w:r>
        <w:rPr>
          <w:rFonts w:hint="eastAsia" w:asciiTheme="minorEastAsia" w:hAnsiTheme="minorEastAsia" w:cstheme="minorEastAsia"/>
          <w:sz w:val="24"/>
          <w:szCs w:val="20"/>
        </w:rPr>
        <w:t xml:space="preserve">认清风险，查找漏洞，找出差距，提出有针对性的加强完善密码安全管理和防护的建议，指导并督促采购人项目中标人按照要求改进并整改落实。协助被测单位填写密码应用安全性评估备案表，配合被测单位到属地密码管理部门完成备案工作。</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（五）密码培训服务要求</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投标人应从国家政策法规、国家密码标准、密码行业标准、密码要求规范等方面，对采购人提供培训服务，明确培训目的、培训质量保障、培训时间计划、培训内容等培训服务要求，达到密码应用安全性评估的目的和意义。</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（六）总体实施要求</w:t>
      </w:r>
      <w:r/>
    </w:p>
    <w:p>
      <w:pPr>
        <w:ind w:firstLine="480"/>
        <w:jc w:val="left"/>
        <w:spacing w:line="560" w:lineRule="exact"/>
        <w:widowControl/>
        <w:rPr>
          <w:rFonts w:hint="eastAsia" w:asciiTheme="minorEastAsia" w:hAnsiTheme="minorEastAsia" w:cstheme="minorEastAsia"/>
          <w:sz w:val="24"/>
          <w:szCs w:val="20"/>
        </w:rPr>
      </w:pPr>
      <w:r>
        <w:rPr>
          <w:rFonts w:hint="eastAsia" w:ascii="宋体" w:hAnsi="宋体" w:eastAsia="Arial" w:cs="宋体"/>
          <w:sz w:val="24"/>
          <w:szCs w:val="20"/>
        </w:rPr>
        <w:t xml:space="preserve">方案应至少包含</w:t>
      </w:r>
      <w:r>
        <w:rPr>
          <w:rFonts w:hint="eastAsia" w:ascii="宋体" w:hAnsi="宋体" w:eastAsia="宋体" w:cs="宋体"/>
          <w:sz w:val="24"/>
          <w:szCs w:val="20"/>
        </w:rPr>
        <w:t xml:space="preserve">：</w:t>
      </w:r>
      <w:r/>
    </w:p>
    <w:p>
      <w:pPr>
        <w:ind w:left="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1.实施进度要求</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投标人原则上应在开始评估后</w:t>
      </w:r>
      <w:r>
        <w:rPr>
          <w:rFonts w:asciiTheme="minorEastAsia" w:hAnsiTheme="minorEastAsia" w:cstheme="minorEastAsia"/>
          <w:sz w:val="24"/>
          <w:szCs w:val="20"/>
        </w:rPr>
        <w:t xml:space="preserve">2</w:t>
      </w:r>
      <w:r>
        <w:rPr>
          <w:rFonts w:hint="eastAsia" w:asciiTheme="minorEastAsia" w:hAnsiTheme="minorEastAsia" w:cstheme="minorEastAsia"/>
          <w:sz w:val="24"/>
          <w:szCs w:val="20"/>
        </w:rPr>
        <w:t xml:space="preserve">个月内按照相关技术要求完成本项目的评估调研、方案制定、评估实施、整改确认、报告编制、备案等工作。</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2.评估整体组织</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投标人应为本项目建立明确的评估组织架构和角色分工，组织架构设置科学合理</w:t>
      </w:r>
      <w:r>
        <w:rPr>
          <w:rFonts w:asciiTheme="minorEastAsia" w:hAnsiTheme="minorEastAsia" w:cstheme="minorEastAsia"/>
          <w:sz w:val="24"/>
          <w:szCs w:val="20"/>
        </w:rPr>
        <w:t xml:space="preserve">,</w:t>
      </w:r>
      <w:r>
        <w:rPr>
          <w:rFonts w:hint="eastAsia" w:asciiTheme="minorEastAsia" w:hAnsiTheme="minorEastAsia" w:cstheme="minorEastAsia"/>
          <w:sz w:val="24"/>
          <w:szCs w:val="20"/>
        </w:rPr>
        <w:t xml:space="preserve">能够有效支撑评估工作的开展。各类角色应包括但不限于项目经理、检测人员、应急人员、质量监督人员、文档管理人员等，人员配备应符合项目实施进度要求和质量要求，具备商用密码评估能力的项目团队人员应达到</w:t>
      </w:r>
      <w:r>
        <w:rPr>
          <w:rFonts w:asciiTheme="minorEastAsia" w:hAnsiTheme="minorEastAsia" w:cstheme="minorEastAsia"/>
          <w:sz w:val="24"/>
          <w:szCs w:val="20"/>
        </w:rPr>
        <w:t xml:space="preserve">8</w:t>
      </w:r>
      <w:r>
        <w:rPr>
          <w:rFonts w:hint="eastAsia" w:asciiTheme="minorEastAsia" w:hAnsiTheme="minorEastAsia" w:cstheme="minorEastAsia"/>
          <w:sz w:val="24"/>
          <w:szCs w:val="20"/>
        </w:rPr>
        <w:t xml:space="preserve">人及以上。</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3.质量管理要求</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针对本项目评估服务过程与服务成果，建立商用密码应用安全性评估或其他信息安全评估过程相关的服务规范、文件控制程序、管理体系审核和评审程序、纠正和预防措施控制程序、人员培训与考核程序、检测设备使用与控制程序、记录控制程序、档案管理程序、保密和保护所有权程序等制度程序对项目进行管理与质量控制。</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4.风险管理要求</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在项目评估实施前，应充分考虑由于评估工作本身而可能引入的风险，</w:t>
      </w:r>
      <w:r>
        <w:rPr>
          <w:rFonts w:hint="eastAsia" w:asciiTheme="minorEastAsia" w:hAnsiTheme="minorEastAsia" w:cstheme="minorEastAsia"/>
          <w:sz w:val="24"/>
          <w:szCs w:val="20"/>
          <w:lang w:eastAsia="zh-CN"/>
        </w:rPr>
        <w:t xml:space="preserve">采</w:t>
      </w:r>
      <w:r>
        <w:rPr>
          <w:rFonts w:hint="eastAsia" w:asciiTheme="minorEastAsia" w:hAnsiTheme="minorEastAsia" w:cstheme="minorEastAsia"/>
          <w:sz w:val="24"/>
          <w:szCs w:val="20"/>
        </w:rPr>
        <w:t xml:space="preserve">取制定相应的风险规避措施或风险管控方案，将评估工作对被评估方的信息系统和正常业务造成的影响或干扰降至最低。当评估现场发生不可预期的情况时，应能够协助被评估单位按照既定的应急预案进行处置。</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5、保密管理要求</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投标人应建立严格的保密管理制度和项目保密措施，对项目实施人员进行保密教育培训，签订保密协议。对项目实施过程中的中间文档、过程材料采取安全可控的技术措施进行传输与存储保护，确保项目数据资料、过程信息不被泄露。投标人未经采购人和项目中标人同意，不得向第三方泄露此项目相关情况。中标人须对其进入甲方工作场所的人员进行资格审查和保密监督管理。</w:t>
      </w:r>
      <w:r/>
    </w:p>
    <w:p>
      <w:pPr>
        <w:ind w:left="482"/>
        <w:jc w:val="left"/>
        <w:spacing w:line="560" w:lineRule="exact"/>
        <w:widowControl/>
        <w:rPr>
          <w:rFonts w:hint="eastAsia" w:ascii="宋体" w:hAnsi="宋体" w:eastAsia="宋体" w:cs="宋体"/>
          <w:b/>
          <w:bCs/>
          <w:sz w:val="24"/>
          <w:szCs w:val="20"/>
        </w:rPr>
        <w:outlineLvl w:val="2"/>
      </w:pPr>
      <w:r>
        <w:rPr>
          <w:rFonts w:hint="eastAsia" w:ascii="宋体" w:hAnsi="宋体" w:eastAsia="宋体" w:cs="宋体"/>
          <w:b/>
          <w:bCs/>
          <w:sz w:val="24"/>
          <w:szCs w:val="20"/>
        </w:rPr>
        <w:t xml:space="preserve">四、企业实力</w:t>
      </w:r>
      <w:r/>
    </w:p>
    <w:p>
      <w:pPr>
        <w:ind w:firstLine="482"/>
        <w:jc w:val="left"/>
        <w:spacing w:line="560" w:lineRule="exact"/>
        <w:widowControl/>
        <w:rPr>
          <w:rFonts w:ascii="宋体" w:hAnsi="宋体" w:eastAsia="Arial" w:cs="宋体"/>
          <w:sz w:val="24"/>
          <w:szCs w:val="20"/>
        </w:rPr>
      </w:pPr>
      <w:r>
        <w:rPr>
          <w:rFonts w:hint="eastAsia" w:ascii="宋体" w:hAnsi="宋体" w:cs="宋体"/>
          <w:sz w:val="24"/>
          <w:szCs w:val="20"/>
        </w:rPr>
        <w:t xml:space="preserve">1.</w:t>
      </w:r>
      <w:r>
        <w:rPr>
          <w:rFonts w:hint="eastAsia" w:ascii="宋体" w:hAnsi="宋体" w:eastAsia="Arial" w:cs="宋体"/>
          <w:sz w:val="24"/>
          <w:szCs w:val="20"/>
        </w:rPr>
        <w:t xml:space="preserve">为了择优选择中标单位，体现企业实力，</w:t>
      </w:r>
      <w:r>
        <w:rPr>
          <w:rFonts w:hint="eastAsia" w:ascii="宋体" w:hAnsi="宋体" w:eastAsia="宋体" w:cs="宋体"/>
          <w:sz w:val="24"/>
          <w:szCs w:val="20"/>
        </w:rPr>
        <w:t xml:space="preserve">投标人具有中国合格评定认可委员会认可的检验机构和检测实验室资质证书，检验能力范围明确包含商用密码应用安全性评估和信息安全风险评估的优先。</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2.为了择优选择中标单位，体现企业实力，</w:t>
      </w:r>
      <w:r>
        <w:rPr>
          <w:rFonts w:hint="eastAsia" w:ascii="宋体" w:hAnsi="宋体" w:eastAsia="宋体" w:cs="宋体"/>
          <w:sz w:val="24"/>
          <w:szCs w:val="20"/>
        </w:rPr>
        <w:t xml:space="preserve">投标人具有中国国家认证认可监督管理委员会颁发的检验检测机构资质认定证书的优先。</w:t>
      </w:r>
      <w:r/>
    </w:p>
    <w:p>
      <w:pPr>
        <w:ind w:firstLine="482"/>
        <w:jc w:val="left"/>
        <w:spacing w:line="560" w:lineRule="exact"/>
        <w:widowControl/>
        <w:rPr>
          <w:rFonts w:hint="eastAsia" w:ascii="宋体" w:hAnsi="宋体" w:cs="宋体"/>
          <w:sz w:val="24"/>
          <w:szCs w:val="20"/>
        </w:rPr>
      </w:pPr>
      <w:r>
        <w:rPr>
          <w:rFonts w:hint="eastAsia" w:ascii="宋体" w:hAnsi="宋体" w:eastAsia="Arial" w:cs="宋体"/>
          <w:sz w:val="24"/>
          <w:szCs w:val="20"/>
        </w:rPr>
        <w:t xml:space="preserve">3.为了择优选择中标单位，体现企业实力，</w:t>
      </w:r>
      <w:r>
        <w:rPr>
          <w:rFonts w:hint="eastAsia" w:ascii="宋体" w:hAnsi="宋体" w:eastAsia="宋体" w:cs="宋体"/>
          <w:sz w:val="24"/>
          <w:szCs w:val="20"/>
        </w:rPr>
        <w:t xml:space="preserve">投标人具有省级市场监督管理局颁发的检验检测机构资质认定证书的优先。</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4.</w:t>
      </w:r>
      <w:r>
        <w:rPr>
          <w:rFonts w:hint="eastAsia" w:ascii="宋体" w:hAnsi="宋体" w:eastAsia="Arial" w:cs="宋体"/>
          <w:sz w:val="24"/>
          <w:szCs w:val="20"/>
        </w:rPr>
        <w:t xml:space="preserve"> 为了择优选择中标单位，体现企业实力，</w:t>
      </w:r>
      <w:r>
        <w:rPr>
          <w:rFonts w:hint="eastAsia" w:ascii="宋体" w:hAnsi="宋体" w:cs="宋体"/>
          <w:sz w:val="24"/>
          <w:szCs w:val="20"/>
        </w:rPr>
        <w:t xml:space="preserve">投标人具有合法合规密码检测工具的优先。</w:t>
      </w:r>
      <w:r/>
    </w:p>
    <w:p>
      <w:pPr>
        <w:ind w:firstLine="482"/>
        <w:jc w:val="left"/>
        <w:spacing w:line="560" w:lineRule="exact"/>
        <w:widowControl/>
        <w:rPr>
          <w:rFonts w:hint="eastAsia" w:ascii="宋体" w:hAnsi="宋体" w:eastAsia="宋体" w:cs="宋体"/>
          <w:b/>
          <w:bCs/>
          <w:sz w:val="24"/>
          <w:szCs w:val="20"/>
        </w:rPr>
        <w:outlineLvl w:val="2"/>
      </w:pPr>
      <w:r>
        <w:rPr>
          <w:rFonts w:hint="eastAsia" w:ascii="宋体" w:hAnsi="宋体" w:eastAsia="宋体" w:cs="宋体"/>
          <w:b/>
          <w:bCs/>
          <w:sz w:val="24"/>
          <w:szCs w:val="20"/>
        </w:rPr>
        <w:t xml:space="preserve">五、团队能力</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投标人需为本项目配备项目组并按照不同工作职责分别配置项目经理、技术负责人及项目组成员。</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1.项目经理：在具有国家密码管理局商用密码检测中心或国家密码管理局商用密码管理办公室或国家商用密码应用安全性评估人员测评能力考核小组颁发的商用密码应用安全性评估人员测评能力考核成绩合格证书基础上，具有人力资源和社会保障部门颁发的电子信息工程专业高级工程师职称证书的优先。</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技术负责人：在国家密码管理局商用密码检测中心或国家密码管理局商用密码管理办公室或国家商用密码应用安全性评估人员测评能力考核小组颁发的商用密码应用安全性评估人员测评能力考核成绩合格证书基础上，具有人力资源和社会保障部门颁发的电子信息工程专业中级以上工程师职称证书的优先。</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3.项目组成员（除项目经理、技术负责人以外）：具有国家密码管理局商用密码检测中心或国家密码管理局商用密码管理办公室或国家商用密码应用安全性评估人员测评能力考核小组颁发的商用密码应用安全性评估人员测评能力考核成绩合格证书的优先。</w:t>
      </w:r>
      <w:r/>
    </w:p>
    <w:p>
      <w:pPr>
        <w:ind w:firstLine="482"/>
        <w:jc w:val="left"/>
        <w:spacing w:line="560" w:lineRule="exact"/>
        <w:widowControl/>
        <w:outlineLvl w:val="2"/>
      </w:pPr>
      <w:r>
        <w:rPr>
          <w:rFonts w:hint="eastAsia" w:ascii="宋体" w:hAnsi="宋体" w:eastAsia="宋体" w:cs="宋体"/>
          <w:b/>
          <w:bCs/>
          <w:sz w:val="24"/>
          <w:szCs w:val="20"/>
        </w:rPr>
        <w:t xml:space="preserve">六、业绩</w:t>
      </w:r>
      <w:r/>
    </w:p>
    <w:p>
      <w:pPr>
        <w:ind w:firstLine="482"/>
        <w:jc w:val="left"/>
        <w:spacing w:line="560" w:lineRule="exact"/>
        <w:widowControl/>
        <w:rPr>
          <w:rFonts w:hint="eastAsia" w:ascii="宋体" w:hAnsi="宋体" w:cs="宋体"/>
          <w:sz w:val="24"/>
          <w:szCs w:val="20"/>
        </w:rPr>
      </w:pPr>
      <w:r>
        <w:rPr>
          <w:rFonts w:hint="eastAsia" w:ascii="宋体" w:hAnsi="宋体" w:eastAsia="Arial" w:cs="宋体"/>
          <w:sz w:val="24"/>
          <w:szCs w:val="20"/>
        </w:rPr>
        <w:t xml:space="preserve">为了确保项目的顺利实施，投标人需具有类似项目的相关承接经验，投标人自2022年1月1日以来（以合同签订日期为准），承担过类似</w:t>
      </w:r>
      <w:r>
        <w:rPr>
          <w:rFonts w:hint="eastAsia" w:ascii="宋体" w:hAnsi="宋体" w:eastAsia="宋体" w:cs="宋体"/>
          <w:sz w:val="24"/>
          <w:szCs w:val="20"/>
          <w:lang w:val="en-US" w:eastAsia="zh-CN"/>
        </w:rPr>
        <w:t xml:space="preserve">项目</w:t>
      </w:r>
      <w:r>
        <w:rPr>
          <w:rFonts w:hint="eastAsia" w:ascii="宋体" w:hAnsi="宋体" w:eastAsia="Arial" w:cs="宋体"/>
          <w:sz w:val="24"/>
          <w:szCs w:val="20"/>
        </w:rPr>
        <w:t xml:space="preserve">业绩</w:t>
      </w:r>
      <w:r>
        <w:rPr>
          <w:rFonts w:hint="eastAsia" w:ascii="宋体" w:hAnsi="宋体" w:cs="宋体"/>
          <w:sz w:val="24"/>
          <w:szCs w:val="20"/>
        </w:rPr>
        <w:t xml:space="preserve">（</w:t>
      </w:r>
      <w:r>
        <w:rPr>
          <w:rFonts w:hint="eastAsia" w:asciiTheme="minorEastAsia" w:hAnsiTheme="minorEastAsia" w:cstheme="minorEastAsia"/>
          <w:bCs/>
          <w:sz w:val="24"/>
          <w:lang w:val="zh-CN"/>
        </w:rPr>
        <w:t xml:space="preserve">类似</w:t>
      </w:r>
      <w:r>
        <w:rPr>
          <w:rFonts w:hint="eastAsia" w:asciiTheme="minorEastAsia" w:hAnsiTheme="minorEastAsia" w:cstheme="minorEastAsia"/>
          <w:bCs/>
          <w:sz w:val="24"/>
          <w:lang w:val="en-US" w:eastAsia="zh-CN"/>
        </w:rPr>
        <w:t xml:space="preserve">项目业绩</w:t>
      </w:r>
      <w:r>
        <w:rPr>
          <w:rFonts w:hint="eastAsia" w:asciiTheme="minorEastAsia" w:hAnsiTheme="minorEastAsia" w:cstheme="minorEastAsia"/>
          <w:bCs/>
          <w:sz w:val="24"/>
          <w:lang w:val="zh-CN"/>
        </w:rPr>
        <w:t xml:space="preserve">是指</w:t>
      </w:r>
      <w:r>
        <w:rPr>
          <w:rFonts w:hint="eastAsia" w:asciiTheme="minorEastAsia" w:hAnsiTheme="minorEastAsia" w:cstheme="minorEastAsia"/>
          <w:bCs/>
          <w:sz w:val="24"/>
        </w:rPr>
        <w:t xml:space="preserve">商用密码应用测评服务</w:t>
      </w:r>
      <w:r>
        <w:rPr>
          <w:rFonts w:hint="eastAsia" w:asciiTheme="minorEastAsia" w:hAnsiTheme="minorEastAsia" w:cstheme="minorEastAsia"/>
          <w:bCs/>
          <w:sz w:val="24"/>
          <w:lang w:val="zh-CN"/>
        </w:rPr>
        <w:t xml:space="preserve">项目）</w:t>
      </w:r>
      <w:r>
        <w:rPr>
          <w:rFonts w:hint="eastAsia" w:ascii="宋体" w:hAnsi="宋体" w:eastAsia="Arial" w:cs="宋体"/>
          <w:sz w:val="24"/>
          <w:szCs w:val="20"/>
        </w:rPr>
        <w:t xml:space="preserve">的优先。</w:t>
      </w:r>
      <w:r/>
    </w:p>
    <w:p>
      <w:pPr>
        <w:ind w:firstLine="482"/>
        <w:jc w:val="left"/>
        <w:spacing w:line="560" w:lineRule="exact"/>
        <w:widowControl/>
        <w:rPr>
          <w:rFonts w:hint="eastAsia" w:ascii="宋体" w:hAnsi="宋体" w:eastAsia="宋体" w:cs="宋体"/>
          <w:b/>
          <w:bCs/>
          <w:sz w:val="24"/>
          <w:szCs w:val="20"/>
        </w:rPr>
        <w:outlineLvl w:val="2"/>
      </w:pPr>
      <w:r>
        <w:rPr>
          <w:rFonts w:hint="eastAsia" w:ascii="宋体" w:hAnsi="宋体" w:eastAsia="宋体" w:cs="宋体"/>
          <w:b/>
          <w:bCs/>
          <w:sz w:val="24"/>
          <w:szCs w:val="20"/>
        </w:rPr>
        <w:t xml:space="preserve">七、采购标的对应的中小企业划分标准所属行业一览表</w:t>
      </w:r>
      <w:r/>
    </w:p>
    <w:tbl>
      <w:tblPr>
        <w:tblStyle w:val="741"/>
        <w:tblW w:w="873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3836"/>
        <w:gridCol w:w="3987"/>
      </w:tblGrid>
      <w:tr>
        <w:trPr>
          <w:trHeight w:val="789"/>
        </w:trPr>
        <w:tc>
          <w:tcPr>
            <w:tcW w:w="907" w:type="dxa"/>
            <w:vAlign w:val="center"/>
            <w:textDirection w:val="lrTb"/>
            <w:noWrap w:val="false"/>
          </w:tcPr>
          <w:p>
            <w:pPr>
              <w:jc w:val="center"/>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序号</w:t>
            </w:r>
            <w:r/>
          </w:p>
        </w:tc>
        <w:tc>
          <w:tcPr>
            <w:tcW w:w="3836" w:type="dxa"/>
            <w:vAlign w:val="center"/>
            <w:textDirection w:val="lrTb"/>
            <w:noWrap w:val="false"/>
          </w:tcPr>
          <w:p>
            <w:pPr>
              <w:jc w:val="center"/>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采购标的</w:t>
            </w:r>
            <w:r/>
          </w:p>
        </w:tc>
        <w:tc>
          <w:tcPr>
            <w:tcW w:w="3987" w:type="dxa"/>
            <w:vAlign w:val="center"/>
            <w:textDirection w:val="lrTb"/>
            <w:noWrap w:val="false"/>
          </w:tcPr>
          <w:p>
            <w:pPr>
              <w:jc w:val="center"/>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对应中小企业划分标准所属行业</w:t>
            </w:r>
            <w:r/>
          </w:p>
        </w:tc>
      </w:tr>
      <w:tr>
        <w:trPr>
          <w:trHeight w:val="843"/>
        </w:trPr>
        <w:tc>
          <w:tcPr>
            <w:tcW w:w="907" w:type="dxa"/>
            <w:vAlign w:val="center"/>
            <w:textDirection w:val="lrTb"/>
            <w:noWrap w:val="false"/>
          </w:tcPr>
          <w:p>
            <w:pPr>
              <w:jc w:val="center"/>
              <w:spacing w:line="560" w:lineRule="exact"/>
              <w:widowControl/>
              <w:rPr>
                <w:rFonts w:ascii="宋体" w:hAnsi="宋体" w:eastAsia="Arial" w:cs="宋体"/>
                <w:sz w:val="24"/>
                <w:szCs w:val="20"/>
              </w:rPr>
            </w:pPr>
            <w:r>
              <w:rPr>
                <w:rFonts w:hint="eastAsia" w:ascii="宋体" w:hAnsi="宋体" w:eastAsia="Arial" w:cs="宋体"/>
                <w:sz w:val="24"/>
                <w:szCs w:val="20"/>
              </w:rPr>
              <w:t xml:space="preserve">1</w:t>
            </w:r>
            <w:r/>
          </w:p>
        </w:tc>
        <w:tc>
          <w:tcPr>
            <w:tcW w:w="3836" w:type="dxa"/>
            <w:vAlign w:val="center"/>
            <w:textDirection w:val="lrTb"/>
            <w:noWrap w:val="false"/>
          </w:tcPr>
          <w:p>
            <w:pPr>
              <w:jc w:val="center"/>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盐城市“公共数据平台”数据安全 </w:t>
            </w:r>
            <w:r/>
          </w:p>
          <w:p>
            <w:pPr>
              <w:jc w:val="center"/>
              <w:spacing w:line="560" w:lineRule="exact"/>
              <w:widowControl/>
              <w:rPr>
                <w:rFonts w:ascii="宋体" w:hAnsi="宋体" w:eastAsia="Arial" w:cs="宋体"/>
                <w:sz w:val="24"/>
                <w:szCs w:val="20"/>
              </w:rPr>
            </w:pPr>
            <w:r>
              <w:rPr>
                <w:rFonts w:hint="eastAsia" w:ascii="宋体" w:hAnsi="宋体" w:eastAsia="宋体" w:cs="宋体"/>
                <w:sz w:val="24"/>
                <w:szCs w:val="20"/>
              </w:rPr>
              <w:t xml:space="preserve">和治理应用功能模块建设升级项目</w:t>
            </w:r>
            <w:r/>
          </w:p>
        </w:tc>
        <w:tc>
          <w:tcPr>
            <w:tcW w:w="3987" w:type="dxa"/>
            <w:vAlign w:val="center"/>
            <w:textDirection w:val="lrTb"/>
            <w:noWrap w:val="false"/>
          </w:tcPr>
          <w:p>
            <w:pPr>
              <w:jc w:val="center"/>
              <w:spacing w:line="560" w:lineRule="exact"/>
              <w:widowControl/>
              <w:rPr>
                <w:rFonts w:ascii="宋体" w:hAnsi="宋体" w:eastAsia="Arial" w:cs="宋体"/>
                <w:sz w:val="24"/>
                <w:szCs w:val="20"/>
              </w:rPr>
            </w:pPr>
            <w:r>
              <w:rPr>
                <w:rFonts w:hint="eastAsia" w:ascii="宋体" w:hAnsi="宋体" w:eastAsia="Arial" w:cs="宋体"/>
                <w:sz w:val="24"/>
                <w:szCs w:val="20"/>
              </w:rPr>
              <w:t xml:space="preserve">软件和信息技术服务业</w:t>
            </w:r>
            <w:r/>
          </w:p>
        </w:tc>
      </w:tr>
    </w:tbl>
    <w:p>
      <w:pPr>
        <w:ind w:firstLine="482"/>
        <w:jc w:val="left"/>
        <w:spacing w:line="560" w:lineRule="exact"/>
        <w:widowControl/>
      </w:pPr>
      <w:r/>
      <w:r/>
    </w:p>
    <w:p>
      <w:pPr>
        <w:ind w:firstLine="482"/>
        <w:jc w:val="left"/>
        <w:spacing w:line="560" w:lineRule="exact"/>
        <w:widowControl/>
        <w:rPr>
          <w:rFonts w:hint="eastAsia" w:ascii="宋体" w:hAnsi="宋体" w:cs="宋体"/>
          <w:b/>
          <w:bCs/>
          <w:sz w:val="24"/>
          <w:szCs w:val="20"/>
        </w:rPr>
        <w:sectPr>
          <w:footnotePr/>
          <w:endnotePr/>
          <w:type w:val="nextPage"/>
          <w:pgSz w:w="11906" w:h="16838" w:orient="portrait"/>
          <w:pgMar w:top="1440" w:right="1633" w:bottom="1440" w:left="1633" w:header="737" w:footer="1134" w:gutter="0"/>
          <w:cols w:num="1" w:sep="0" w:space="425" w:equalWidth="1"/>
          <w:docGrid w:linePitch="360"/>
          <w:titlePg/>
        </w:sectPr>
        <w:outlineLvl w:val="1"/>
      </w:pPr>
      <w:r>
        <w:rPr>
          <w:rFonts w:hint="eastAsia" w:ascii="宋体" w:hAnsi="宋体" w:cs="宋体"/>
          <w:b/>
          <w:bCs/>
          <w:sz w:val="24"/>
          <w:szCs w:val="20"/>
        </w:rPr>
      </w:r>
      <w:r/>
    </w:p>
    <w:p>
      <w:pPr>
        <w:ind w:firstLine="482"/>
        <w:jc w:val="left"/>
        <w:spacing w:line="560" w:lineRule="exact"/>
        <w:widowControl/>
        <w:rPr>
          <w:rFonts w:hint="eastAsia" w:ascii="宋体" w:hAnsi="宋体" w:cs="宋体"/>
          <w:b/>
          <w:bCs/>
          <w:sz w:val="24"/>
          <w:szCs w:val="20"/>
        </w:rPr>
        <w:outlineLvl w:val="1"/>
      </w:pPr>
      <w:r>
        <w:rPr>
          <w:rFonts w:ascii="宋体" w:hAnsi="宋体" w:cs="宋体"/>
          <w:b/>
          <w:bCs/>
          <w:sz w:val="24"/>
          <w:szCs w:val="20"/>
        </w:rPr>
        <w:t xml:space="preserve">分包</w:t>
      </w:r>
      <w:r>
        <w:rPr>
          <w:rFonts w:hint="eastAsia" w:ascii="宋体" w:hAnsi="宋体" w:cs="宋体"/>
          <w:b/>
          <w:bCs/>
          <w:sz w:val="24"/>
          <w:szCs w:val="20"/>
        </w:rPr>
        <w:t xml:space="preserve">五</w:t>
      </w:r>
      <w:r>
        <w:rPr>
          <w:rFonts w:ascii="宋体" w:hAnsi="宋体" w:cs="宋体"/>
          <w:b/>
          <w:bCs/>
          <w:sz w:val="24"/>
          <w:szCs w:val="20"/>
        </w:rPr>
        <w:t xml:space="preserve">：</w:t>
      </w:r>
      <w:r>
        <w:rPr>
          <w:rFonts w:hint="eastAsia" w:ascii="宋体" w:hAnsi="宋体" w:cs="宋体"/>
          <w:b/>
          <w:bCs/>
          <w:sz w:val="24"/>
          <w:szCs w:val="20"/>
        </w:rPr>
        <w:t xml:space="preserve">软件测评服务</w:t>
      </w:r>
      <w:r/>
    </w:p>
    <w:p>
      <w:pPr>
        <w:ind w:firstLine="482"/>
        <w:jc w:val="left"/>
        <w:spacing w:line="560" w:lineRule="exact"/>
        <w:widowControl/>
        <w:rPr>
          <w:rFonts w:hint="eastAsia" w:ascii="宋体" w:hAnsi="宋体" w:eastAsia="宋体" w:cs="宋体"/>
          <w:b/>
          <w:bCs/>
          <w:sz w:val="24"/>
          <w:szCs w:val="20"/>
        </w:rPr>
        <w:outlineLvl w:val="2"/>
      </w:pPr>
      <w:r>
        <w:rPr>
          <w:rFonts w:hint="eastAsia" w:ascii="宋体" w:hAnsi="宋体" w:eastAsia="宋体" w:cs="宋体"/>
          <w:b/>
          <w:bCs/>
          <w:sz w:val="24"/>
          <w:szCs w:val="20"/>
        </w:rPr>
        <w:t xml:space="preserve">一、技术要求</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投标人依照有关标准和法律法规，以相关行业及国家评测标准及规范为依据，利用系统、</w:t>
      </w:r>
      <w:r>
        <w:rPr>
          <w:rFonts w:hint="eastAsia" w:asciiTheme="minorEastAsia" w:hAnsiTheme="minorEastAsia" w:cstheme="minorEastAsia"/>
          <w:sz w:val="24"/>
          <w:szCs w:val="20"/>
        </w:rPr>
        <w:t xml:space="preserve">全面、科学的评测设计和有效的评测组织实施，独立、客观、公正、定量地分析评估和报告盐城市“公共数据平台”数据安全和治理应用功能模块建设升级项目开展的整体状况，对各应用软件的功能性、性能效率、信息安全性、易用性、可靠性、兼容性、用户文档集等测评参数进行测试，为被测项目评审验收提供客观依据。通过软件评测，发现和找出系统开发阶段未满足项目设计要求并且影响上线使用的开发设计缺陷，对被测试项目进行评估，以及对项目需求规格说明书、系统设计文件、用户手册等文档开展规范性检查，指导开发方修改完善，为系统上线使用提供质量保证。</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（一）服务内容</w:t>
      </w:r>
      <w:r/>
    </w:p>
    <w:p>
      <w:pPr>
        <w:ind w:firstLine="482"/>
        <w:jc w:val="left"/>
        <w:spacing w:line="560" w:lineRule="exact"/>
        <w:widowControl/>
        <w:rPr>
          <w:rFonts w:ascii="宋体" w:hAnsi="宋体" w:eastAsia="Arial" w:cs="宋体"/>
          <w:b/>
          <w:bCs/>
          <w:sz w:val="24"/>
          <w:szCs w:val="20"/>
        </w:rPr>
        <w:outlineLvl w:val="4"/>
      </w:pPr>
      <w:r>
        <w:rPr>
          <w:rFonts w:hint="eastAsia" w:ascii="宋体" w:hAnsi="宋体" w:eastAsia="宋体" w:cs="宋体"/>
          <w:b/>
          <w:bCs/>
          <w:sz w:val="24"/>
          <w:szCs w:val="20"/>
        </w:rPr>
        <w:t xml:space="preserve">1.工作依据</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软件测试依据要求包括但不限于以下内容：</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《信息技术 软件工程术语》（GB／T 11457-2006）；</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《信息安全技术 信息安全风险评估规范》（GB／T 20984-2022）；</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《系统与软件工程 系统与软件质量要求和评价（SQuaRE） 第 51 部分：就  绪可用软件产品（RUSP）的质量要求和测试细则》（GB/T 25000.51-2016） ；</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《系统与软件工程 系统与软件质量要求和评价（SQuaRE）第 10 部分：系统 与软件质量模型》（GB／T25000.10-2016）；</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《软件需求规格说明书》； </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《系统详细设计文档》；</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用户能够出具的相关行业标准及其他具体意见和要求。</w:t>
      </w:r>
      <w:r/>
    </w:p>
    <w:p>
      <w:pPr>
        <w:ind w:firstLine="482"/>
        <w:jc w:val="left"/>
        <w:spacing w:line="56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2.工作目标</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通过软件测试工作的开展，保障各被测试项目的功能开发质量和数据准确性，确保相关需求和工作标准、要求在项目实施过程当中得到严格贯彻，保证各被测试项目的平稳运行。</w:t>
      </w:r>
      <w:r/>
    </w:p>
    <w:p>
      <w:pPr>
        <w:ind w:firstLine="482"/>
        <w:jc w:val="left"/>
        <w:spacing w:line="56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3.技术要求</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依据国家标准及系统需求规格说明书等的要求，检验系统是否满足用户需求，保证信息系统建设质量、维护用户和被测试项目双方利益。通过评估系统的需求符合性，对系统功能、可靠性、效率等方面进行专业的测试，全面保障信息化建设质量，为项目验收提供重要依据。为了保证软件质量，投标人应从应用系统的功能性、性能等质量特</w:t>
      </w:r>
      <w:r>
        <w:rPr>
          <w:rFonts w:hint="eastAsia" w:asciiTheme="minorEastAsia" w:hAnsiTheme="minorEastAsia" w:cstheme="minorEastAsia"/>
          <w:sz w:val="24"/>
          <w:szCs w:val="20"/>
          <w:lang w:eastAsia="zh-CN"/>
        </w:rPr>
        <w:t xml:space="preserve">性等</w:t>
      </w:r>
      <w:r>
        <w:rPr>
          <w:rFonts w:hint="eastAsia" w:asciiTheme="minorEastAsia" w:hAnsiTheme="minorEastAsia" w:cstheme="minorEastAsia"/>
          <w:sz w:val="24"/>
          <w:szCs w:val="20"/>
        </w:rPr>
        <w:t xml:space="preserve">方面开展软件测试，测试内容具体如下：</w:t>
      </w:r>
      <w:r/>
    </w:p>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（1）功能性测试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软件系统的功能性是指当软件在指定条件下使用时，软件产品提供满足明确和隐含要求的功能与能力。根据GB／T25000.51-2016《系统与软件工程系统与软件质量要求和评价（SQuaRE）第51部分：就绪可用软件产品（RUSP）的质量要求和测试细则》的要求，功能性测试主要包括以下3方面：</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功能适合性：分析被测对象功能需求，依据《需求规格说明书》和《系统详细设计文档》要求验证系统是否实现了全部需求，确保各项功能是可执行的；对系统业务数据进行严格的正确性测试（包括数据是否超出正常的值范围、数据准确性等），确保系统实时数据和历史数据准确无误。</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功能完备性：在给定的限制范围内，使用相应的环境设施、器材和数据，测试用户文档集中所陈述的所有功能是否全部覆盖；测试软件是否符合产品说明所引用的任何需求文档中的全部要求。</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功能正确性：对具有功能正确性要求的功能，依据等价类法和边界值法选定具有覆盖性的测试数据作为输入，设计用例，并计算出这些输入的预期结果。执行用例，记录软件的实际输入结果，比较实际结果与预期结果间的差异；根据软件计算功能的精度（如数据处理精度、时间控制精度、时间测量精度）要求，设计测试用例，验证软件运算功能结果精度及有效位，是否与用户需求或需求规格说明书中对精度和有效位的要求相一致。</w:t>
      </w:r>
      <w:r/>
    </w:p>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（2）性能效率测试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根据GB/T25000.51-2016《系统与软件工程系统与软件质量要求和评价（SQuaRE）第51部分：就绪可用软件产品（RUSP）的质量要求和测试细则》的要求对软件的性能效率进行测试。性能效率测试主要包括以下方面：</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平均响应时间：根据软件产品的特性，依据需求规格说明书的要求，选取数据量较大和用户操作最频繁的测试场景，设计测试用例并利用性能测试工具，测试软件产品在一定量用户并发访问时运行典型任务的响应时间。</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平均吞吐量：根据软件产品的特性，依据需求规格说明书的要求，选取数据量较大和用户操作最频繁的测试场景，设计测试用例并利用性能测试工具，在多个用户访问时，在一个设定的单位时间内，测试系统能处理的并发任务的平均数量。</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数据库性能：根据软件产品特性，依据需求规格说明书的要求，</w:t>
      </w:r>
      <w:r>
        <w:rPr>
          <w:rFonts w:hint="eastAsia" w:asciiTheme="minorEastAsia" w:hAnsiTheme="minorEastAsia" w:cstheme="minorEastAsia"/>
          <w:sz w:val="24"/>
          <w:szCs w:val="20"/>
          <w:lang w:eastAsia="zh-CN"/>
        </w:rPr>
        <w:t xml:space="preserve">选择</w:t>
      </w:r>
      <w:r>
        <w:rPr>
          <w:rFonts w:hint="eastAsia" w:asciiTheme="minorEastAsia" w:hAnsiTheme="minorEastAsia" w:cstheme="minorEastAsia"/>
          <w:sz w:val="24"/>
          <w:szCs w:val="20"/>
        </w:rPr>
        <w:t xml:space="preserve">复杂查询、高频读写等场景设计用例，用专业工具模拟多用户并发操作，测数据库操作响应时间、事务成功率及资源利用率，评估其性能。</w:t>
      </w:r>
      <w:r/>
    </w:p>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（3）信息安全性测试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根据GB/T25000.51-2016《系统与软件工程系统与软件质量要求和评价（SQuaRE）第51部分：就绪可用软件产品（RUSP）的质量要求和测试细则》的要求对软件进行信息安全性测试，主要包括以下方面：</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保密性：验证软件产品是否具有对系统正常访问的控制能力；测试系统是否进行用户身份鉴别，并在每次用户登录系统时进行鉴别；测试软件鉴别信息是否为不可见，且具有相应的抗攻击能力，并在存储或传输时用加密方法/具有相同安全强度的其他方法进行安全保护。</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完整性：验证软件产品是否具有对未授权用户非法访问的控制能力；在模拟非法入侵攻击事件的条件下，验证软件产品是否有控制和处理能力。</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真实性：验证软件是否具有当前使用系统的用户列表和配置表；验证软件在系统的访问历史数据库中记录的访问登录记录是否完整；检查软件是否具有用户使用系统的历史日志及日志管理功能等。</w:t>
      </w:r>
      <w:r/>
    </w:p>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（4）易用性测试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根据GB／T25000.51-2016《系统与软件工程系统与软件质量要求和评价（SQuaRE）第51部分：就绪可用软件产品（RUSP）的质量要求和测试细则》的要求，易用性测试主要包括以下4方面：</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可辨识性：用户或使用者是否可通过检查界面（或通过检查菜单）来落实明显的功能；软件产品的用户或使用者是否能理解数据输入的格式；软件产品的用户或使用者是否能正确识别输出数据的含义：软件产品的屏幕输入格式、报表和其他输出对用户来说是否是清晰且易理解的。</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易学性：系统是否提供及时帮助功能；帮助内容描述得是否准确，详细到可以解决问题；利用帮助索引是否能定位到帮助主题和内容；是否具有打印功能；目录是否划分有层次。</w:t>
      </w:r>
      <w:r/>
    </w:p>
    <w:p>
      <w:pPr>
        <w:ind w:firstLine="480"/>
        <w:jc w:val="left"/>
        <w:spacing w:line="560" w:lineRule="exact"/>
        <w:widowControl/>
        <w:rPr>
          <w:sz w:val="24"/>
        </w:rPr>
      </w:pPr>
      <w:r>
        <w:rPr>
          <w:rFonts w:hint="eastAsia" w:asciiTheme="minorEastAsia" w:hAnsiTheme="minorEastAsia" w:cstheme="minorEastAsia"/>
          <w:sz w:val="24"/>
          <w:szCs w:val="20"/>
        </w:rPr>
        <w:t xml:space="preserve">易操作性：窗口控件的大小、对齐方向、颜色、背景等属性的设置值是否和程序设计规约相一致：多个窗口叠加时窗口的名称是否显示正确；菜单项的措辞是否准确；菜单项的顺序是否合理；下拉菜单是否根据菜单选项的含义</w:t>
      </w:r>
      <w:r>
        <w:rPr>
          <w:rFonts w:hint="eastAsia" w:ascii="Times New Roman" w:hAnsi="Times New Roman" w:cs="Times New Roman"/>
          <w:sz w:val="24"/>
        </w:rPr>
        <w:t xml:space="preserve">进行分组；是否可以通过鼠标访问所有的菜单功能；不同的目标是否采用不同的图标等。</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界面舒适性：界面中元素的文字、颜色等信息是否与功能一致：布局是否一致，如所有窗口按钮的位置和对齐方式要一致；窗口的比例是否合适；界面中的元素大小和布局是否协调等。</w:t>
      </w:r>
      <w:r/>
    </w:p>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（5）可靠性测试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根据GB／T25000.51-2016《系统与软件工程系统与软件质量要求和评价（SQuaRE）第51部分：就绪可用软件产品（RUSP）的质量要求和测试细则》的要求，可靠性测试主要包括以下4方面：</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成熟性：在24小时正常运行情况下，验证软件产品是否出现故障；在非正常运行情况下（如：有用户接口出错、应用程序自身的逻辑出错、系统或网络资源可用性引发差错）,验证软件产品是否有继续运行的能力。</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可用性：测试软件是否在用户需要使用时可用。</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容错性：在正常运行的情况下，验证软件产品运行过程中是否出现死机；在非正常运行的情况下，验证软件产品运行过程中是否出现死机；在正常运行的情况下，验证软件产品运行过程中是否失效等。</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易恢复性：在模拟生产环境下，验证软件产品是否能执行所有的用户操作；在数据库毁坏的情况下，验证软件产品能否重新启动；在异常情况下，验证软件产品是否有修复能力，且修复能力是否有效等。</w:t>
      </w:r>
      <w:r/>
    </w:p>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（6）兼容性测试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根据GB/T25000.51-2016《系统与软件工程系统与软件质量要求和评价（SQuaRE）第51部分：就绪可用软件产品（RUSP）的质量要求和测试细则》的要求，主要包括以下2方面：</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共存性：在与其他产品共享通用的环境和资源的条件下，产品能够有效执行其所需的功能并且不会对其他产品造成负面影响。</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互操作性：两个或多个系统、产品或组件能够交换信息并使用已交换的信息的程度。</w:t>
      </w:r>
      <w:r/>
    </w:p>
    <w:p>
      <w:pPr>
        <w:ind w:firstLine="482"/>
        <w:jc w:val="left"/>
        <w:spacing w:line="560" w:lineRule="exact"/>
        <w:widowControl/>
        <w:rPr>
          <w:rFonts w:hint="eastAsia" w:ascii="宋体" w:hAnsi="宋体" w:eastAsia="宋体" w:cs="宋体"/>
          <w:b/>
          <w:bCs/>
          <w:sz w:val="24"/>
          <w:szCs w:val="20"/>
        </w:rPr>
        <w:outlineLvl w:val="5"/>
      </w:pPr>
      <w:r>
        <w:rPr>
          <w:rFonts w:hint="eastAsia" w:ascii="宋体" w:hAnsi="宋体" w:eastAsia="宋体" w:cs="宋体"/>
          <w:b/>
          <w:bCs/>
          <w:sz w:val="24"/>
          <w:szCs w:val="20"/>
        </w:rPr>
        <w:t xml:space="preserve">（7）用户文档集测试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完备性：用户文档集应包含使用该软件必需的信息，用户文档集应说明在产品说明中陈述的所有功能以及最终用户能调用的所有功能。</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用户文档集应列出已处理处置、会引起应用系统失效或终止的差错和缺陷,特别是列出那些最终导致数据丢失的应用系统终止的情况，用户文档集应给出必要数据的备份和恢复指南，对于所有关键的软件功能（即失效后会对安全产生影响或会造成重大财产损失或社会损失的软件）,用户文档集应提供完备的指导信息和参考信息。</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一致性：用户文档集中的各文档不应自相矛盾、互相矛盾以及与产品说明矛盾。</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正确性：用户文档集中的所有信息对主要的目标用户应是恰当的。用户文档集不应有歧义的信息。</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易理解性：用户文档集应采用该软件特定读者可理解的术语和文体,应通过经编排的文档清单为理解用户文档集提供便利。</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（二）实施要求</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投标人针对项目总体情况、各子项目进度计划情况和测试工作要求，制定整体测试工作方案，方案内容包括但不限于：测试背景、测试标准、测试流程、采用的测试方法及工具、测试质量保障、参与各方的职责。</w:t>
      </w:r>
      <w:r/>
    </w:p>
    <w:p>
      <w:pPr>
        <w:ind w:firstLine="482"/>
        <w:jc w:val="left"/>
        <w:spacing w:line="56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1.</w:t>
      </w:r>
      <w:r>
        <w:rPr>
          <w:rFonts w:ascii="宋体" w:hAnsi="宋体" w:eastAsia="宋体" w:cs="宋体"/>
          <w:b/>
          <w:bCs/>
          <w:sz w:val="24"/>
          <w:szCs w:val="20"/>
        </w:rPr>
        <w:t xml:space="preserve">实施进度要求</w:t>
      </w:r>
      <w:r/>
    </w:p>
    <w:p>
      <w:pPr>
        <w:ind w:firstLine="480"/>
        <w:jc w:val="left"/>
        <w:spacing w:line="560" w:lineRule="exact"/>
        <w:widowControl/>
        <w:rPr>
          <w:rFonts w:hint="eastAsia" w:asciiTheme="minorEastAsia" w:hAnsiTheme="minorEastAsia" w:cstheme="minorEastAsia"/>
          <w:sz w:val="24"/>
          <w:szCs w:val="20"/>
        </w:rPr>
      </w:pPr>
      <w:r>
        <w:rPr>
          <w:rFonts w:asciiTheme="minorEastAsia" w:hAnsiTheme="minorEastAsia" w:cstheme="minorEastAsia"/>
          <w:sz w:val="24"/>
          <w:szCs w:val="20"/>
        </w:rPr>
        <w:t xml:space="preserve">投标人应</w:t>
      </w:r>
      <w:r>
        <w:rPr>
          <w:rFonts w:hint="eastAsia" w:asciiTheme="minorEastAsia" w:hAnsiTheme="minorEastAsia" w:cstheme="minorEastAsia"/>
          <w:sz w:val="24"/>
          <w:szCs w:val="20"/>
        </w:rPr>
        <w:t xml:space="preserve">从项目实施启动至项目最终验收提供软件测评服务，提交被测项目测试用例、测试记录、缺陷报告等过程文档和软件测试报告。</w:t>
      </w:r>
      <w:r>
        <w:rPr>
          <w:rFonts w:asciiTheme="minorEastAsia" w:hAnsiTheme="minorEastAsia" w:cstheme="minorEastAsia"/>
          <w:sz w:val="24"/>
          <w:szCs w:val="20"/>
        </w:rPr>
        <w:t xml:space="preserve">（因</w:t>
      </w:r>
      <w:r>
        <w:rPr>
          <w:rFonts w:hint="eastAsia" w:asciiTheme="minorEastAsia" w:hAnsiTheme="minorEastAsia" w:cstheme="minorEastAsia"/>
          <w:sz w:val="24"/>
          <w:szCs w:val="20"/>
        </w:rPr>
        <w:t xml:space="preserve">项目</w:t>
      </w:r>
      <w:r>
        <w:rPr>
          <w:rFonts w:asciiTheme="minorEastAsia" w:hAnsiTheme="minorEastAsia" w:cstheme="minorEastAsia"/>
          <w:sz w:val="24"/>
          <w:szCs w:val="20"/>
        </w:rPr>
        <w:t xml:space="preserve">建设、整改导致时间延期，工期顺延）。</w:t>
      </w:r>
      <w:r/>
    </w:p>
    <w:p>
      <w:pPr>
        <w:ind w:firstLine="482"/>
        <w:jc w:val="left"/>
        <w:spacing w:line="56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2.服务团队要求</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1）项目经理1人，不少于4名技术实施人员。项目经理不得兼任其他人员，项目组所有人员必须为本单位工作人员，不得兼任其他项目工作。项目经理应熟悉信息化项目建设的全过程，能够从软件需求评估、软件测试、信息系统安全等角度全方位、全过程管理项目，项目组成员应熟悉信息化项目测试流程，能够深入挖掘功能需求，执行各类专项测试。中标人在项目测评关键阶段根据采购人的具体要求提供1名驻场人员，进行不少于60日的驻场服务，确保对项目测试缺陷持续跟踪解决。</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（2）中标人应具有信息安全服务相关能力，并指派专业的信息安全技术人员对项目进行信息安全性评测，有能力提出安全性的建议和意见。</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（3）中标人应本着认真负责的态度组织项目团队，严格遵循项目要求，合理安排人员投入，项目组主要成员不经采购人允许不得随意更改。否则，采购人有权作为违约处理直至终止合同。</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（4）中标人提供 7×24 小时响应服务。及时进行电话、邮件及远程网络支持，需要现场支持时，工作时间内中标人需在1小时内安排专业人员到达现场处理。</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（5）中标人应积极协调采购人及项目监理方推动项目承建方及时解决测试缺陷。</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（6）合同期内，采购人有权要求中标人更换不合格的项目经理，中标人不得拒绝，并必须保证更换后的项目经理应当具备或高于更换前人员的经验和资质。</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7）中标人应向采购人提供服务（包含与服务相关的产品）有关的技术资料。中标人应在项目完成时，将本项目所有文档、资料汇集成册交付给采购人，所有文件要求用中文书写或有完整的中文注释。中标人按采购人档案管理要求，向采购人提供装订成册的纸质文档和电子文档。</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（8）中标人须提供回归性测试服务，对测试中发现的缺陷开展回归测试，最终出具第三方测试报告。</w:t>
      </w:r>
      <w:r/>
    </w:p>
    <w:p>
      <w:pPr>
        <w:ind w:firstLine="482"/>
        <w:jc w:val="left"/>
        <w:spacing w:line="560" w:lineRule="exact"/>
        <w:widowControl/>
        <w:rPr>
          <w:rFonts w:hint="eastAsia" w:ascii="宋体" w:hAnsi="宋体" w:eastAsia="宋体" w:cs="宋体"/>
          <w:b/>
          <w:bCs/>
          <w:sz w:val="24"/>
          <w:szCs w:val="20"/>
        </w:rPr>
        <w:outlineLvl w:val="4"/>
      </w:pPr>
      <w:r>
        <w:rPr>
          <w:rFonts w:hint="eastAsia" w:ascii="宋体" w:hAnsi="宋体" w:eastAsia="宋体" w:cs="宋体"/>
          <w:b/>
          <w:bCs/>
          <w:sz w:val="24"/>
          <w:szCs w:val="20"/>
        </w:rPr>
        <w:t xml:space="preserve">3.保密要求</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（1）中标人应签订保密协议，对其因身份、职务、职业或技术关系而知悉的采购人商业秘密和党政机关保密信息应严格保守，保证不被披露或使用，包括意外或过失。</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（2）中标人不得以竞争为目的、或出于私利、或为第三人谋利而擅自保存、披露、使用采购</w:t>
      </w:r>
      <w:r>
        <w:rPr>
          <w:rFonts w:hint="eastAsia" w:asciiTheme="minorEastAsia" w:hAnsiTheme="minorEastAsia" w:cstheme="minorEastAsia"/>
          <w:sz w:val="24"/>
          <w:szCs w:val="20"/>
          <w:lang w:eastAsia="zh-CN"/>
        </w:rPr>
        <w:t xml:space="preserve">人的</w:t>
      </w:r>
      <w:r>
        <w:rPr>
          <w:rFonts w:hint="eastAsia" w:asciiTheme="minorEastAsia" w:hAnsiTheme="minorEastAsia" w:cstheme="minorEastAsia"/>
          <w:sz w:val="24"/>
          <w:szCs w:val="20"/>
        </w:rPr>
        <w:t xml:space="preserve">商业秘密和党政机关保密信息；不得直接或间接地向无关人员泄露采购人的商业秘密和党政机关保密信息；不得向不承担保密义务的任何第三人披露采购人的商业秘密和党政机关保密信息。中标人在从事政府项目时，不得擅自记录、复制、拍摄、摘抄、收藏在工作中涉及的保密信息，严禁将涉及政府项目的任何资料、数据透露或以其他方式提供给项目以外的其他方或中标人内部与该项目无关的任何人员。</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3）中标人对于工作期间知悉采购人的商业秘密和党政机关保密信息（包括业务信息在内）或工作过程中接触到的政府机关文件（包括内部发文、各类通知及会议记录等）的内容，同样承担保密责任，严禁将政府机关内部会议、谈话内容泄露给无关人员，不得翻阅与工作无关的文件和资料。</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（4）严禁泄露在工作中</w:t>
      </w:r>
      <w:r>
        <w:rPr>
          <w:rFonts w:hint="eastAsia" w:asciiTheme="minorEastAsia" w:hAnsiTheme="minorEastAsia" w:cstheme="minorEastAsia"/>
          <w:sz w:val="24"/>
          <w:szCs w:val="20"/>
          <w:lang w:eastAsia="zh-CN"/>
        </w:rPr>
        <w:t xml:space="preserve">接触</w:t>
      </w:r>
      <w:r>
        <w:rPr>
          <w:rFonts w:hint="eastAsia" w:asciiTheme="minorEastAsia" w:hAnsiTheme="minorEastAsia" w:cstheme="minorEastAsia"/>
          <w:sz w:val="24"/>
          <w:szCs w:val="20"/>
        </w:rPr>
        <w:t xml:space="preserve">的政府机关科技研究、发明、装备器材及其技术资料和政府工作信息。</w:t>
      </w:r>
      <w:r/>
    </w:p>
    <w:p>
      <w:pPr>
        <w:ind w:firstLine="482"/>
        <w:jc w:val="left"/>
        <w:spacing w:line="560" w:lineRule="exact"/>
        <w:widowControl/>
        <w:rPr>
          <w:rFonts w:hint="eastAsia" w:ascii="宋体" w:hAnsi="宋体" w:eastAsia="宋体" w:cs="宋体"/>
          <w:b/>
          <w:bCs/>
          <w:sz w:val="24"/>
          <w:szCs w:val="20"/>
        </w:rPr>
        <w:outlineLvl w:val="2"/>
      </w:pPr>
      <w:r>
        <w:rPr>
          <w:rFonts w:hint="eastAsia" w:ascii="宋体" w:hAnsi="宋体" w:eastAsia="宋体" w:cs="宋体"/>
          <w:b/>
          <w:bCs/>
          <w:sz w:val="24"/>
          <w:szCs w:val="20"/>
        </w:rPr>
        <w:t xml:space="preserve">二、</w:t>
      </w:r>
      <w:r>
        <w:rPr>
          <w:rFonts w:ascii="宋体" w:hAnsi="宋体" w:eastAsia="宋体" w:cs="宋体"/>
          <w:b/>
          <w:bCs/>
          <w:sz w:val="24"/>
          <w:szCs w:val="20"/>
        </w:rPr>
        <w:t xml:space="preserve">商务要求</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（一）</w:t>
      </w:r>
      <w:r>
        <w:rPr>
          <w:rFonts w:ascii="Times New Roman" w:hAnsi="Times New Roman" w:cs="Times New Roman"/>
          <w:b/>
          <w:bCs/>
          <w:sz w:val="24"/>
          <w:szCs w:val="20"/>
        </w:rPr>
        <w:t xml:space="preserve">服务周期</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采购人通知启动测评工作后60个自然日内完成软件测评工作。（因项目建设、整改导致时间延期，工期顺延）</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（二）</w:t>
      </w:r>
      <w:r>
        <w:rPr>
          <w:rFonts w:ascii="Times New Roman" w:hAnsi="Times New Roman" w:cs="Times New Roman"/>
          <w:b/>
          <w:bCs/>
          <w:sz w:val="24"/>
          <w:szCs w:val="20"/>
        </w:rPr>
        <w:t xml:space="preserve">服务地点</w:t>
      </w:r>
      <w:r/>
    </w:p>
    <w:p>
      <w:pPr>
        <w:ind w:firstLine="480"/>
        <w:jc w:val="left"/>
        <w:spacing w:line="560" w:lineRule="exact"/>
        <w:widowControl/>
        <w:rPr>
          <w:rFonts w:hint="eastAsia" w:asciiTheme="minorEastAsia" w:hAnsiTheme="minorEastAsia" w:cstheme="minorEastAsia"/>
          <w:sz w:val="24"/>
          <w:szCs w:val="20"/>
        </w:rPr>
      </w:pPr>
      <w:r>
        <w:rPr>
          <w:rFonts w:asciiTheme="minorEastAsia" w:hAnsiTheme="minorEastAsia" w:cstheme="minorEastAsia"/>
          <w:sz w:val="24"/>
          <w:szCs w:val="20"/>
        </w:rPr>
        <w:t xml:space="preserve">根据采购人需求至指定服务地点开展工作。</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（三）</w:t>
      </w:r>
      <w:r>
        <w:rPr>
          <w:rFonts w:ascii="Times New Roman" w:hAnsi="Times New Roman" w:cs="Times New Roman"/>
          <w:b/>
          <w:bCs/>
          <w:sz w:val="24"/>
          <w:szCs w:val="20"/>
        </w:rPr>
        <w:t xml:space="preserve">服务验收</w:t>
      </w:r>
      <w:r/>
    </w:p>
    <w:p>
      <w:pPr>
        <w:ind w:firstLine="480"/>
        <w:jc w:val="left"/>
        <w:spacing w:line="560" w:lineRule="exact"/>
        <w:widowControl/>
        <w:rPr>
          <w:rFonts w:hint="eastAsia" w:asciiTheme="minorEastAsia" w:hAnsiTheme="minorEastAsia" w:cstheme="minorEastAsia"/>
          <w:sz w:val="24"/>
          <w:szCs w:val="20"/>
        </w:rPr>
      </w:pPr>
      <w:r>
        <w:rPr>
          <w:rFonts w:asciiTheme="minorEastAsia" w:hAnsiTheme="minorEastAsia" w:cstheme="minorEastAsia"/>
          <w:sz w:val="24"/>
          <w:szCs w:val="20"/>
        </w:rPr>
        <w:t xml:space="preserve">中标</w:t>
      </w:r>
      <w:r>
        <w:rPr>
          <w:rFonts w:hint="eastAsia" w:asciiTheme="minorEastAsia" w:hAnsiTheme="minorEastAsia" w:cstheme="minorEastAsia"/>
          <w:sz w:val="24"/>
          <w:szCs w:val="20"/>
          <w:lang w:eastAsia="zh-CN"/>
        </w:rPr>
        <w:t xml:space="preserve">投标人</w:t>
      </w:r>
      <w:r>
        <w:rPr>
          <w:rFonts w:asciiTheme="minorEastAsia" w:hAnsiTheme="minorEastAsia" w:cstheme="minorEastAsia"/>
          <w:sz w:val="24"/>
          <w:szCs w:val="20"/>
        </w:rPr>
        <w:t xml:space="preserve">完成合同约定的所有服务内容，</w:t>
      </w:r>
      <w:r>
        <w:rPr>
          <w:rFonts w:hint="eastAsia" w:asciiTheme="minorEastAsia" w:hAnsiTheme="minorEastAsia" w:cstheme="minorEastAsia"/>
          <w:sz w:val="24"/>
          <w:szCs w:val="20"/>
        </w:rPr>
        <w:t xml:space="preserve">提供软件测评服务，提交被测项目测试用例、测试记录、缺陷报告等过程文档和软件测试报告</w:t>
      </w:r>
      <w:r>
        <w:rPr>
          <w:rFonts w:asciiTheme="minorEastAsia" w:hAnsiTheme="minorEastAsia" w:cstheme="minorEastAsia"/>
          <w:sz w:val="24"/>
          <w:szCs w:val="20"/>
        </w:rPr>
        <w:t xml:space="preserve">，完成本项目的验收。</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（四）</w:t>
      </w:r>
      <w:r>
        <w:rPr>
          <w:rFonts w:ascii="Times New Roman" w:hAnsi="Times New Roman" w:cs="Times New Roman"/>
          <w:b/>
          <w:bCs/>
          <w:sz w:val="24"/>
          <w:szCs w:val="20"/>
        </w:rPr>
        <w:t xml:space="preserve">支付条款</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合同签订后，甲方在收到乙方票据并确认无误后，10个工作日内，支付预付款合同价的30%；</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合同约定的所有服务内容完成，经终验通过后，甲方在收到乙方票据并确认无误后，10个工作日内，支付合同价的70%。</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（五）其他要求</w:t>
      </w:r>
      <w:r/>
    </w:p>
    <w:p>
      <w:pPr>
        <w:ind w:firstLine="482"/>
        <w:jc w:val="left"/>
        <w:spacing w:line="560" w:lineRule="exact"/>
        <w:widowControl/>
        <w:rPr>
          <w:rFonts w:ascii="宋体" w:hAnsi="宋体" w:eastAsia="Arial" w:cs="宋体"/>
          <w:b/>
          <w:bCs/>
          <w:i/>
          <w:iCs/>
          <w:sz w:val="24"/>
          <w:szCs w:val="20"/>
          <w:u w:val="single"/>
        </w:rPr>
      </w:pPr>
      <w:r>
        <w:rPr>
          <w:rFonts w:hint="eastAsia" w:ascii="宋体" w:hAnsi="宋体" w:eastAsia="Arial" w:cs="宋体"/>
          <w:b/>
          <w:bCs/>
          <w:i/>
          <w:iCs/>
          <w:sz w:val="24"/>
          <w:szCs w:val="20"/>
          <w:u w:val="single"/>
        </w:rPr>
        <w:t xml:space="preserve">★</w:t>
      </w:r>
      <w:r>
        <w:rPr>
          <w:rFonts w:hint="eastAsia" w:ascii="宋体" w:hAnsi="宋体" w:eastAsia="宋体" w:cs="宋体"/>
          <w:b/>
          <w:bCs/>
          <w:i/>
          <w:iCs/>
          <w:sz w:val="24"/>
          <w:szCs w:val="20"/>
          <w:u w:val="single"/>
        </w:rPr>
        <w:t xml:space="preserve">（</w:t>
      </w:r>
      <w:r>
        <w:rPr>
          <w:rFonts w:hint="eastAsia" w:ascii="宋体" w:hAnsi="宋体" w:eastAsia="Arial" w:cs="宋体"/>
          <w:b/>
          <w:bCs/>
          <w:i/>
          <w:iCs/>
          <w:sz w:val="24"/>
          <w:szCs w:val="20"/>
          <w:u w:val="single"/>
        </w:rPr>
        <w:t xml:space="preserve">1</w:t>
      </w:r>
      <w:r>
        <w:rPr>
          <w:rFonts w:hint="eastAsia" w:ascii="宋体" w:hAnsi="宋体" w:eastAsia="宋体" w:cs="宋体"/>
          <w:b/>
          <w:bCs/>
          <w:i/>
          <w:iCs/>
          <w:sz w:val="24"/>
          <w:szCs w:val="20"/>
          <w:u w:val="single"/>
        </w:rPr>
        <w:t xml:space="preserve">）所有招标要求条款</w:t>
      </w:r>
      <w:r>
        <w:rPr>
          <w:rFonts w:hint="eastAsia" w:ascii="宋体" w:hAnsi="宋体" w:eastAsia="宋体" w:cs="宋体"/>
          <w:b/>
          <w:bCs/>
          <w:i/>
          <w:iCs/>
          <w:sz w:val="24"/>
          <w:szCs w:val="20"/>
          <w:u w:val="single"/>
          <w:lang w:eastAsia="zh-CN"/>
        </w:rPr>
        <w:t xml:space="preserve">投标人</w:t>
      </w:r>
      <w:r>
        <w:rPr>
          <w:rFonts w:hint="eastAsia" w:ascii="宋体" w:hAnsi="宋体" w:eastAsia="宋体" w:cs="宋体"/>
          <w:b/>
          <w:bCs/>
          <w:i/>
          <w:iCs/>
          <w:sz w:val="24"/>
          <w:szCs w:val="20"/>
          <w:u w:val="single"/>
        </w:rPr>
        <w:t xml:space="preserve">均必须如实反映响应或偏离情况，如</w:t>
      </w:r>
      <w:r>
        <w:rPr>
          <w:rFonts w:hint="eastAsia" w:ascii="宋体" w:hAnsi="宋体" w:eastAsia="宋体" w:cs="宋体"/>
          <w:b/>
          <w:bCs/>
          <w:i/>
          <w:iCs/>
          <w:sz w:val="24"/>
          <w:szCs w:val="20"/>
          <w:u w:val="single"/>
          <w:lang w:eastAsia="zh-CN"/>
        </w:rPr>
        <w:t xml:space="preserve">投标人</w:t>
      </w:r>
      <w:r>
        <w:rPr>
          <w:rFonts w:hint="eastAsia" w:ascii="宋体" w:hAnsi="宋体" w:eastAsia="宋体" w:cs="宋体"/>
          <w:b/>
          <w:bCs/>
          <w:i/>
          <w:iCs/>
          <w:sz w:val="24"/>
          <w:szCs w:val="20"/>
          <w:u w:val="single"/>
        </w:rPr>
        <w:t xml:space="preserve">虚假响应招标文件要求，则一切后果由</w:t>
      </w:r>
      <w:r>
        <w:rPr>
          <w:rFonts w:hint="eastAsia" w:ascii="宋体" w:hAnsi="宋体" w:eastAsia="宋体" w:cs="宋体"/>
          <w:b/>
          <w:bCs/>
          <w:i/>
          <w:iCs/>
          <w:sz w:val="24"/>
          <w:szCs w:val="20"/>
          <w:u w:val="single"/>
          <w:lang w:eastAsia="zh-CN"/>
        </w:rPr>
        <w:t xml:space="preserve">投标人</w:t>
      </w:r>
      <w:r>
        <w:rPr>
          <w:rFonts w:hint="eastAsia" w:ascii="宋体" w:hAnsi="宋体" w:eastAsia="宋体" w:cs="宋体"/>
          <w:b/>
          <w:bCs/>
          <w:i/>
          <w:iCs/>
          <w:sz w:val="24"/>
          <w:szCs w:val="20"/>
          <w:u w:val="single"/>
        </w:rPr>
        <w:t xml:space="preserve">自行承担。</w:t>
      </w:r>
      <w:r>
        <w:rPr>
          <w:rFonts w:hint="eastAsia" w:ascii="宋体" w:hAnsi="宋体" w:eastAsia="宋体" w:cs="宋体"/>
          <w:b/>
          <w:bCs/>
          <w:i/>
          <w:iCs/>
          <w:sz w:val="24"/>
          <w:szCs w:val="20"/>
          <w:u w:val="single"/>
          <w:lang w:eastAsia="zh-CN"/>
        </w:rPr>
        <w:t xml:space="preserve">采购人</w:t>
      </w:r>
      <w:r>
        <w:rPr>
          <w:rFonts w:hint="eastAsia" w:ascii="宋体" w:hAnsi="宋体" w:eastAsia="宋体" w:cs="宋体"/>
          <w:b/>
          <w:bCs/>
          <w:i/>
          <w:iCs/>
          <w:sz w:val="24"/>
          <w:szCs w:val="20"/>
          <w:u w:val="single"/>
        </w:rPr>
        <w:t xml:space="preserve">保留追究法律责任的权利。（投标人须出具承诺函，</w:t>
      </w:r>
      <w:r>
        <w:rPr>
          <w:rFonts w:hint="eastAsia" w:ascii="宋体" w:hAnsi="宋体" w:eastAsia="宋体" w:cs="宋体"/>
          <w:b/>
          <w:bCs/>
          <w:i/>
          <w:iCs/>
          <w:sz w:val="24"/>
          <w:szCs w:val="20"/>
          <w:u w:val="single"/>
          <w:lang w:val="en-US" w:eastAsia="zh-CN"/>
        </w:rPr>
        <w:t xml:space="preserve">承诺函自制</w:t>
      </w:r>
      <w:r>
        <w:rPr>
          <w:rFonts w:hint="eastAsia" w:ascii="宋体" w:hAnsi="宋体" w:eastAsia="宋体" w:cs="宋体"/>
          <w:b/>
          <w:bCs/>
          <w:i/>
          <w:iCs/>
          <w:sz w:val="24"/>
          <w:szCs w:val="20"/>
          <w:u w:val="single"/>
          <w:lang w:eastAsia="zh-CN"/>
        </w:rPr>
        <w:t xml:space="preserve">，</w:t>
      </w:r>
      <w:r>
        <w:rPr>
          <w:rFonts w:hint="eastAsia" w:ascii="宋体" w:hAnsi="宋体" w:eastAsia="宋体" w:cs="宋体"/>
          <w:b/>
          <w:bCs/>
          <w:i/>
          <w:iCs/>
          <w:sz w:val="24"/>
          <w:szCs w:val="20"/>
          <w:u w:val="single"/>
        </w:rPr>
        <w:t xml:space="preserve">并加盖投标人公章）</w:t>
      </w:r>
      <w:r/>
    </w:p>
    <w:p>
      <w:pPr>
        <w:ind w:firstLine="482"/>
        <w:jc w:val="left"/>
        <w:spacing w:line="560" w:lineRule="exact"/>
        <w:widowControl/>
        <w:rPr>
          <w:rFonts w:ascii="宋体" w:hAnsi="宋体" w:eastAsia="Arial" w:cs="宋体"/>
          <w:b/>
          <w:bCs/>
          <w:i/>
          <w:iCs/>
          <w:sz w:val="24"/>
          <w:szCs w:val="20"/>
          <w:u w:val="single"/>
        </w:rPr>
      </w:pPr>
      <w:r>
        <w:rPr>
          <w:rFonts w:hint="eastAsia" w:ascii="宋体" w:hAnsi="宋体" w:eastAsia="Arial" w:cs="宋体"/>
          <w:b/>
          <w:bCs/>
          <w:i/>
          <w:iCs/>
          <w:sz w:val="24"/>
          <w:szCs w:val="20"/>
          <w:u w:val="single"/>
        </w:rPr>
        <w:t xml:space="preserve">★</w:t>
      </w:r>
      <w:r>
        <w:rPr>
          <w:rFonts w:hint="eastAsia" w:ascii="宋体" w:hAnsi="宋体" w:eastAsia="宋体" w:cs="宋体"/>
          <w:b/>
          <w:bCs/>
          <w:i/>
          <w:iCs/>
          <w:sz w:val="24"/>
          <w:szCs w:val="20"/>
          <w:u w:val="single"/>
        </w:rPr>
        <w:t xml:space="preserve">（</w:t>
      </w:r>
      <w:r>
        <w:rPr>
          <w:rFonts w:hint="eastAsia" w:ascii="宋体" w:hAnsi="宋体" w:eastAsia="Arial" w:cs="宋体"/>
          <w:b/>
          <w:bCs/>
          <w:i/>
          <w:iCs/>
          <w:sz w:val="24"/>
          <w:szCs w:val="20"/>
          <w:u w:val="single"/>
        </w:rPr>
        <w:t xml:space="preserve">2</w:t>
      </w:r>
      <w:r>
        <w:rPr>
          <w:rFonts w:hint="eastAsia" w:ascii="宋体" w:hAnsi="宋体" w:eastAsia="宋体" w:cs="宋体"/>
          <w:b/>
          <w:bCs/>
          <w:i/>
          <w:iCs/>
          <w:sz w:val="24"/>
          <w:szCs w:val="20"/>
          <w:u w:val="single"/>
        </w:rPr>
        <w:t xml:space="preserve">）</w:t>
      </w:r>
      <w:r>
        <w:rPr>
          <w:rFonts w:hint="eastAsia" w:ascii="宋体" w:hAnsi="宋体" w:eastAsia="宋体" w:cs="宋体"/>
          <w:b/>
          <w:bCs/>
          <w:i/>
          <w:iCs/>
          <w:sz w:val="24"/>
          <w:szCs w:val="20"/>
          <w:u w:val="single"/>
          <w:lang w:eastAsia="zh-CN"/>
        </w:rPr>
        <w:t xml:space="preserve">投标人</w:t>
      </w:r>
      <w:r>
        <w:rPr>
          <w:rFonts w:hint="eastAsia" w:ascii="宋体" w:hAnsi="宋体" w:eastAsia="宋体" w:cs="宋体"/>
          <w:b/>
          <w:bCs/>
          <w:i/>
          <w:iCs/>
          <w:sz w:val="24"/>
          <w:szCs w:val="20"/>
          <w:u w:val="single"/>
        </w:rPr>
        <w:t xml:space="preserve">需在投标之前充分调研盐城市现有公共数据平台及相关关联系统现状，所投的报价含后续服务一切费用，即甲方不再另行支付其他费用。（投标人须出具承诺函，</w:t>
      </w:r>
      <w:r>
        <w:rPr>
          <w:rFonts w:hint="eastAsia" w:ascii="宋体" w:hAnsi="宋体" w:eastAsia="宋体" w:cs="宋体"/>
          <w:b/>
          <w:bCs/>
          <w:i/>
          <w:iCs/>
          <w:sz w:val="24"/>
          <w:szCs w:val="20"/>
          <w:u w:val="single"/>
          <w:lang w:val="en-US" w:eastAsia="zh-CN"/>
        </w:rPr>
        <w:t xml:space="preserve">承诺函自制</w:t>
      </w:r>
      <w:r>
        <w:rPr>
          <w:rFonts w:hint="eastAsia" w:ascii="宋体" w:hAnsi="宋体" w:eastAsia="宋体" w:cs="宋体"/>
          <w:b/>
          <w:bCs/>
          <w:i/>
          <w:iCs/>
          <w:sz w:val="24"/>
          <w:szCs w:val="20"/>
          <w:u w:val="single"/>
          <w:lang w:eastAsia="zh-CN"/>
        </w:rPr>
        <w:t xml:space="preserve">，</w:t>
      </w:r>
      <w:r>
        <w:rPr>
          <w:rFonts w:hint="eastAsia" w:ascii="宋体" w:hAnsi="宋体" w:eastAsia="宋体" w:cs="宋体"/>
          <w:b/>
          <w:bCs/>
          <w:i/>
          <w:iCs/>
          <w:sz w:val="24"/>
          <w:szCs w:val="20"/>
          <w:u w:val="single"/>
        </w:rPr>
        <w:t xml:space="preserve">并加盖投标人公章）</w:t>
      </w:r>
      <w:r/>
    </w:p>
    <w:p>
      <w:pPr>
        <w:ind w:firstLine="482"/>
        <w:jc w:val="left"/>
        <w:spacing w:line="560" w:lineRule="exact"/>
        <w:widowControl/>
        <w:rPr>
          <w:rFonts w:hint="eastAsia" w:asciiTheme="minorEastAsia" w:hAnsiTheme="minorEastAsia" w:cstheme="minorEastAsia"/>
          <w:sz w:val="24"/>
          <w:szCs w:val="20"/>
        </w:rPr>
      </w:pPr>
      <w:r>
        <w:rPr>
          <w:rFonts w:hint="eastAsia" w:ascii="宋体" w:hAnsi="宋体" w:eastAsia="Arial" w:cs="宋体"/>
          <w:b/>
          <w:bCs/>
          <w:i/>
          <w:iCs/>
          <w:sz w:val="24"/>
          <w:szCs w:val="20"/>
          <w:u w:val="single"/>
        </w:rPr>
        <w:t xml:space="preserve">注：本项目招标文件中标注★为实质性要求，不允许负偏离，否则为无效投标。</w:t>
      </w:r>
      <w:r/>
    </w:p>
    <w:p>
      <w:pPr>
        <w:ind w:firstLine="482"/>
        <w:jc w:val="left"/>
        <w:spacing w:line="560" w:lineRule="exact"/>
        <w:widowControl/>
        <w:rPr>
          <w:rFonts w:hint="eastAsia" w:ascii="宋体" w:hAnsi="宋体" w:eastAsia="宋体" w:cs="宋体"/>
          <w:b/>
          <w:bCs/>
          <w:sz w:val="24"/>
          <w:szCs w:val="20"/>
        </w:rPr>
        <w:outlineLvl w:val="2"/>
      </w:pPr>
      <w:r>
        <w:rPr>
          <w:rFonts w:hint="eastAsia" w:ascii="宋体" w:hAnsi="宋体" w:eastAsia="宋体" w:cs="宋体"/>
          <w:b/>
          <w:bCs/>
          <w:sz w:val="24"/>
          <w:szCs w:val="20"/>
        </w:rPr>
        <w:t xml:space="preserve">三、技术方案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投标人应根据采购需求和本项目实际，制订相应的方案，包括但不限于以下内容：</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（一）软件测评方案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根据依据国家标准及系统需求规格说明书等的要求，对功能性、性能效率、信息安全性、易用性、可靠性、兼容性、用户文档集进行测试，并分别设计测试方案，</w:t>
      </w:r>
      <w:r>
        <w:rPr>
          <w:rFonts w:hint="eastAsia" w:ascii="宋体" w:hAnsi="宋体" w:eastAsia="Arial" w:cs="宋体"/>
          <w:sz w:val="24"/>
          <w:szCs w:val="20"/>
        </w:rPr>
        <w:t xml:space="preserve">方案应至少包含</w:t>
      </w:r>
      <w:r>
        <w:rPr>
          <w:rFonts w:hint="eastAsia" w:asciiTheme="minorEastAsia" w:hAnsiTheme="minorEastAsia" w:cstheme="minorEastAsia"/>
          <w:sz w:val="24"/>
          <w:szCs w:val="20"/>
        </w:rPr>
        <w:t xml:space="preserve">：</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1.功能性测试方案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功能性测试方案至少包括：功能适合性、功能完备性、功能正确性3方面测试。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2.性能效率测试方案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性能效率测试方案至少包括：平均响应时间、平均吞吐量、数据库性能3方面测试。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3.信息安全性测试方案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信息安全性测试方案至少包括：保密性、完整性、真实性3方面测试。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4.易用性测试方案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易用性测试方案至少包括：可辨识性、易学性、易操作性、界面舒适性4方面测试。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5.可靠性测试方案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可靠性测试方案至少包括：成熟性、可用性、容错性、易恢复性4方面测试。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6.兼容性测试方案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兼容性测试方案至少包括：共存性、互操作性2方面测试。</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7.用户文档集测试方案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用户文档集测试方案至少包括：完备性、一致性、正确性、易理解性4方面测试。</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（二）项目管理方案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方案应至少包含:</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1.团队配置。提供项目组织架构图，列明项目经理、团队人员的人员资质；人员稳定性保障措施。</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2.沟通协调。明确与招标人的专职对接人、沟通频率及核心沟通内容；说明与软件开发方的缺陷反馈、整改验证协作机制；沟通记录需书面归档并提交招标人。</w:t>
      </w:r>
      <w:r/>
    </w:p>
    <w:p>
      <w:pPr>
        <w:ind w:firstLine="482"/>
        <w:jc w:val="left"/>
        <w:spacing w:line="400" w:lineRule="exact"/>
        <w:widowControl/>
        <w:rPr>
          <w:rFonts w:ascii="Times New Roman" w:hAnsi="Times New Roman" w:cs="Times New Roman"/>
          <w:b/>
          <w:bCs/>
          <w:sz w:val="24"/>
          <w:szCs w:val="20"/>
        </w:rPr>
        <w:outlineLvl w:val="3"/>
      </w:pPr>
      <w:r>
        <w:rPr>
          <w:rFonts w:hint="eastAsia" w:ascii="Times New Roman" w:hAnsi="Times New Roman" w:cs="Times New Roman"/>
          <w:b/>
          <w:bCs/>
          <w:sz w:val="24"/>
          <w:szCs w:val="20"/>
        </w:rPr>
        <w:t xml:space="preserve">（三）质量保证方案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方案应至少包含:</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1.质量目标。制定可量化的核心指标，涵盖测试用例覆盖度、核心功能缺陷检出率、问题修复及时率等，确保质量标准清晰可衡量。</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2.过程管控。构建事前预防、事中执行、事后验收的全流程管控机制，从需求阶段到交付验收各环节严格把关，保障测试过程规范有序。</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3.文档质量。明确测试全流程文档的编制范围、统一格式标准，建立严格的审核与归档流程，确保测试过程可追溯、成果可核查、责任可落实。</w:t>
      </w:r>
      <w:r/>
    </w:p>
    <w:p>
      <w:pPr>
        <w:ind w:firstLine="482"/>
        <w:jc w:val="left"/>
        <w:spacing w:line="560" w:lineRule="exact"/>
        <w:widowControl/>
        <w:rPr>
          <w:rFonts w:hint="eastAsia" w:ascii="宋体" w:hAnsi="宋体" w:eastAsia="宋体" w:cs="宋体"/>
          <w:b/>
          <w:bCs/>
          <w:sz w:val="24"/>
          <w:szCs w:val="20"/>
        </w:rPr>
        <w:outlineLvl w:val="2"/>
      </w:pPr>
      <w:r>
        <w:rPr>
          <w:rFonts w:hint="eastAsia" w:ascii="宋体" w:hAnsi="宋体" w:eastAsia="宋体" w:cs="宋体"/>
          <w:b/>
          <w:bCs/>
          <w:sz w:val="24"/>
          <w:szCs w:val="20"/>
        </w:rPr>
        <w:t xml:space="preserve">四、企业实力</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1.为了择优选择中标单位，体现企业实力，投标人具备有效期内的信息安全管理体系认证证书、质量管理体系认证证书、信息技术服务</w:t>
      </w:r>
      <w:r>
        <w:rPr>
          <w:rFonts w:hint="eastAsia" w:asciiTheme="minorEastAsia" w:hAnsiTheme="minorEastAsia" w:cstheme="minorEastAsia"/>
          <w:sz w:val="24"/>
          <w:szCs w:val="20"/>
          <w:lang w:val="en-US" w:eastAsia="zh-CN"/>
        </w:rPr>
        <w:t xml:space="preserve">管理</w:t>
      </w:r>
      <w:r>
        <w:rPr>
          <w:rFonts w:hint="eastAsia" w:asciiTheme="minorEastAsia" w:hAnsiTheme="minorEastAsia" w:cstheme="minorEastAsia"/>
          <w:sz w:val="24"/>
          <w:szCs w:val="20"/>
        </w:rPr>
        <w:t xml:space="preserve">体系认证证书的优先。</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w:t>
      </w:r>
      <w:bookmarkStart w:id="136" w:name="OLE_LINK10"/>
      <w:r>
        <w:rPr>
          <w:rFonts w:hint="eastAsia" w:asciiTheme="minorEastAsia" w:hAnsiTheme="minorEastAsia" w:cstheme="minorEastAsia"/>
          <w:sz w:val="24"/>
          <w:szCs w:val="20"/>
        </w:rPr>
        <w:t xml:space="preserve">为了择优选择中标单位，体现企业实力，投标人具备合法合规的软件测评工具的优先。相关工具需说明工具名称、型号、版本、生产厂商、主要功能及在本项目中的具体应用场景，若使用自主研发工具须提供工具的著作权证明及有效性验证报告；若使用第三方工具须提供工具采购合同或租赁证明，确保工具满足测评需求且合法合规。</w:t>
      </w:r>
      <w:bookmarkEnd w:id="136"/>
      <w:r/>
      <w:r/>
    </w:p>
    <w:p>
      <w:pPr>
        <w:ind w:firstLine="482"/>
        <w:jc w:val="left"/>
        <w:spacing w:line="560" w:lineRule="exact"/>
        <w:widowControl/>
        <w:rPr>
          <w:rFonts w:hint="eastAsia" w:ascii="宋体" w:hAnsi="宋体" w:eastAsia="宋体" w:cs="宋体"/>
          <w:b/>
          <w:bCs/>
          <w:sz w:val="24"/>
          <w:szCs w:val="20"/>
        </w:rPr>
        <w:outlineLvl w:val="2"/>
      </w:pPr>
      <w:r>
        <w:rPr>
          <w:rFonts w:hint="eastAsia" w:ascii="宋体" w:hAnsi="宋体" w:eastAsia="宋体" w:cs="宋体"/>
          <w:b/>
          <w:bCs/>
          <w:sz w:val="24"/>
          <w:szCs w:val="20"/>
        </w:rPr>
        <w:t xml:space="preserve">五、团队能力</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投标人需为本项目配备项目组，并按照不同工作职责分别配置项目经理及项目组成员（含驻场人员），项目组成员不少于4名，中标人在项目测评关键阶段根据采购人的具体要求提供1名驻场人员，进行不少于60日的驻场服务。</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（1）项目经理：具有以下证书的优先：具有国家人力资源和社会保障部工业和信息化部批准颁发的信息系统项目管理师、软件评测师证书</w:t>
      </w:r>
      <w:r>
        <w:rPr>
          <w:rFonts w:hint="eastAsia" w:asciiTheme="minorEastAsia" w:hAnsiTheme="minorEastAsia" w:cstheme="minorEastAsia"/>
          <w:color w:val="000000" w:themeColor="text1"/>
          <w:sz w:val="24"/>
          <w:szCs w:val="20"/>
          <w14:textFill>
            <w14:solidFill>
              <w14:schemeClr w14:val="tx1"/>
            </w14:solidFill>
          </w14:textFill>
        </w:rPr>
        <w:t xml:space="preserve">。</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（2）项目组成员（除项目经理外）具有国家人力资源和社会保障部工业和信息化部批准颁发的软件评测师、信息安全工程师、网络工程师、数据库系统工程师、信息系统项目管理师证书的优先。</w:t>
      </w:r>
      <w:r/>
    </w:p>
    <w:p>
      <w:pPr>
        <w:ind w:firstLine="482"/>
        <w:jc w:val="left"/>
        <w:spacing w:line="560" w:lineRule="exact"/>
        <w:widowControl/>
        <w:rPr>
          <w:rFonts w:hint="eastAsia" w:ascii="宋体" w:hAnsi="宋体" w:eastAsia="宋体" w:cs="宋体"/>
          <w:b/>
          <w:bCs/>
          <w:sz w:val="24"/>
          <w:szCs w:val="20"/>
        </w:rPr>
        <w:outlineLvl w:val="2"/>
      </w:pPr>
      <w:r>
        <w:rPr>
          <w:rFonts w:hint="eastAsia" w:ascii="宋体" w:hAnsi="宋体" w:eastAsia="宋体" w:cs="宋体"/>
          <w:b/>
          <w:bCs/>
          <w:sz w:val="24"/>
          <w:szCs w:val="20"/>
        </w:rPr>
        <w:t xml:space="preserve">六、业绩</w:t>
      </w:r>
      <w:r/>
    </w:p>
    <w:p>
      <w:pPr>
        <w:ind w:firstLine="480"/>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为了确保项目的顺利实施，投标人需具有类似项目的相关承接经验，投标人自2022年1月1日以来（以合同签订日期为准），承担过类似业绩（类似项目是指信息化系统的软件测评项目）</w:t>
      </w:r>
      <w:r>
        <w:rPr>
          <w:rFonts w:hint="eastAsia" w:asciiTheme="minorEastAsia" w:hAnsiTheme="minorEastAsia" w:cstheme="minorEastAsia"/>
          <w:b w:val="0"/>
          <w:bCs w:val="0"/>
          <w:sz w:val="24"/>
          <w:szCs w:val="20"/>
        </w:rPr>
        <w:t xml:space="preserve">的优先。</w:t>
      </w:r>
      <w:r/>
    </w:p>
    <w:p>
      <w:pPr>
        <w:ind w:firstLine="482"/>
        <w:jc w:val="left"/>
        <w:spacing w:line="560" w:lineRule="exact"/>
        <w:widowControl/>
        <w:rPr>
          <w:rFonts w:hint="eastAsia" w:ascii="宋体" w:hAnsi="宋体" w:eastAsia="宋体" w:cs="宋体"/>
          <w:b/>
          <w:bCs/>
          <w:sz w:val="24"/>
          <w:szCs w:val="20"/>
        </w:rPr>
        <w:outlineLvl w:val="2"/>
      </w:pPr>
      <w:r>
        <w:rPr>
          <w:rFonts w:hint="eastAsia" w:ascii="宋体" w:hAnsi="宋体" w:eastAsia="宋体" w:cs="宋体"/>
          <w:b/>
          <w:bCs/>
          <w:sz w:val="24"/>
          <w:szCs w:val="20"/>
        </w:rPr>
        <w:t xml:space="preserve">七、采购标的对应的中小企业划分标准所属行业一览表</w:t>
      </w:r>
      <w:r/>
    </w:p>
    <w:tbl>
      <w:tblPr>
        <w:tblStyle w:val="741"/>
        <w:tblW w:w="873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3836"/>
        <w:gridCol w:w="3987"/>
      </w:tblGrid>
      <w:tr>
        <w:trPr>
          <w:trHeight w:val="789"/>
        </w:trPr>
        <w:tc>
          <w:tcPr>
            <w:tcW w:w="907" w:type="dxa"/>
            <w:vAlign w:val="center"/>
            <w:textDirection w:val="lrTb"/>
            <w:noWrap w:val="false"/>
          </w:tcPr>
          <w:p>
            <w:pPr>
              <w:jc w:val="center"/>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序号</w:t>
            </w:r>
            <w:r/>
          </w:p>
        </w:tc>
        <w:tc>
          <w:tcPr>
            <w:tcW w:w="3836" w:type="dxa"/>
            <w:vAlign w:val="center"/>
            <w:textDirection w:val="lrTb"/>
            <w:noWrap w:val="false"/>
          </w:tcPr>
          <w:p>
            <w:pPr>
              <w:jc w:val="center"/>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采购标的</w:t>
            </w:r>
            <w:r/>
          </w:p>
        </w:tc>
        <w:tc>
          <w:tcPr>
            <w:tcW w:w="3987" w:type="dxa"/>
            <w:vAlign w:val="center"/>
            <w:textDirection w:val="lrTb"/>
            <w:noWrap w:val="false"/>
          </w:tcPr>
          <w:p>
            <w:pPr>
              <w:jc w:val="center"/>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对应中小企业划分标准所属行业</w:t>
            </w:r>
            <w:r/>
          </w:p>
        </w:tc>
      </w:tr>
      <w:tr>
        <w:trPr>
          <w:trHeight w:val="843"/>
        </w:trPr>
        <w:tc>
          <w:tcPr>
            <w:tcW w:w="907" w:type="dxa"/>
            <w:vAlign w:val="center"/>
            <w:textDirection w:val="lrTb"/>
            <w:noWrap w:val="false"/>
          </w:tcPr>
          <w:p>
            <w:pPr>
              <w:jc w:val="center"/>
              <w:spacing w:line="560" w:lineRule="exact"/>
              <w:widowControl/>
              <w:rPr>
                <w:rFonts w:ascii="宋体" w:hAnsi="宋体" w:eastAsia="Arial" w:cs="宋体"/>
                <w:sz w:val="24"/>
                <w:szCs w:val="20"/>
              </w:rPr>
            </w:pPr>
            <w:r>
              <w:rPr>
                <w:rFonts w:hint="eastAsia" w:ascii="宋体" w:hAnsi="宋体" w:eastAsia="Arial" w:cs="宋体"/>
                <w:sz w:val="24"/>
                <w:szCs w:val="20"/>
              </w:rPr>
              <w:t xml:space="preserve">1</w:t>
            </w:r>
            <w:r/>
          </w:p>
        </w:tc>
        <w:tc>
          <w:tcPr>
            <w:tcW w:w="3836" w:type="dxa"/>
            <w:vAlign w:val="center"/>
            <w:textDirection w:val="lrTb"/>
            <w:noWrap w:val="false"/>
          </w:tcPr>
          <w:p>
            <w:pPr>
              <w:jc w:val="center"/>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盐城市“公共数据平台”数据安全 </w:t>
            </w:r>
            <w:r/>
          </w:p>
          <w:p>
            <w:pPr>
              <w:jc w:val="center"/>
              <w:spacing w:line="560" w:lineRule="exact"/>
              <w:widowControl/>
              <w:rPr>
                <w:rFonts w:ascii="宋体" w:hAnsi="宋体" w:eastAsia="Arial" w:cs="宋体"/>
                <w:sz w:val="24"/>
                <w:szCs w:val="20"/>
              </w:rPr>
            </w:pPr>
            <w:r>
              <w:rPr>
                <w:rFonts w:hint="eastAsia" w:ascii="宋体" w:hAnsi="宋体" w:eastAsia="宋体" w:cs="宋体"/>
                <w:sz w:val="24"/>
                <w:szCs w:val="20"/>
              </w:rPr>
              <w:t xml:space="preserve">和治理应用功能模块建设升级项目</w:t>
            </w:r>
            <w:r/>
          </w:p>
        </w:tc>
        <w:tc>
          <w:tcPr>
            <w:tcW w:w="3987" w:type="dxa"/>
            <w:vAlign w:val="center"/>
            <w:textDirection w:val="lrTb"/>
            <w:noWrap w:val="false"/>
          </w:tcPr>
          <w:p>
            <w:pPr>
              <w:jc w:val="center"/>
              <w:spacing w:line="560" w:lineRule="exact"/>
              <w:widowControl/>
              <w:rPr>
                <w:rFonts w:ascii="宋体" w:hAnsi="宋体" w:eastAsia="Arial" w:cs="宋体"/>
                <w:sz w:val="24"/>
                <w:szCs w:val="20"/>
              </w:rPr>
            </w:pPr>
            <w:r>
              <w:rPr>
                <w:rFonts w:hint="eastAsia" w:ascii="宋体" w:hAnsi="宋体" w:eastAsia="Arial" w:cs="宋体"/>
                <w:sz w:val="24"/>
                <w:szCs w:val="20"/>
              </w:rPr>
              <w:t xml:space="preserve">软件和信息技术服务业</w:t>
            </w:r>
            <w:r/>
          </w:p>
        </w:tc>
      </w:tr>
    </w:tbl>
    <w:p>
      <w:pPr>
        <w:ind w:firstLine="480"/>
        <w:jc w:val="left"/>
        <w:spacing w:line="560" w:lineRule="exact"/>
        <w:widowControl/>
        <w:rPr>
          <w:rFonts w:hint="eastAsia" w:asciiTheme="minorEastAsia" w:hAnsiTheme="minorEastAsia" w:cstheme="minorEastAsia"/>
          <w:sz w:val="24"/>
          <w:szCs w:val="20"/>
        </w:rPr>
        <w:sectPr>
          <w:footnotePr/>
          <w:endnotePr/>
          <w:type w:val="nextPage"/>
          <w:pgSz w:w="11906" w:h="16838" w:orient="portrait"/>
          <w:pgMar w:top="1440" w:right="1633" w:bottom="1440" w:left="1633" w:header="737" w:footer="1134" w:gutter="0"/>
          <w:cols w:num="1" w:sep="0" w:space="425" w:equalWidth="1"/>
          <w:docGrid w:linePitch="360"/>
          <w:titlePg/>
        </w:sectPr>
      </w:pPr>
      <w:r>
        <w:rPr>
          <w:rFonts w:hint="eastAsia" w:asciiTheme="minorEastAsia" w:hAnsiTheme="minorEastAsia" w:cstheme="minorEastAsia"/>
          <w:sz w:val="24"/>
          <w:szCs w:val="20"/>
        </w:rPr>
      </w:r>
      <w:r/>
    </w:p>
    <w:p>
      <w:pPr>
        <w:jc w:val="center"/>
        <w:spacing w:line="700" w:lineRule="exact"/>
        <w:widowControl/>
        <w:rPr>
          <w:rFonts w:hint="eastAsia" w:ascii="方正小标宋_GBK" w:eastAsia="方正小标宋_GBK" w:cs="宋体" w:hAnsiTheme="minorEastAsia"/>
          <w:sz w:val="44"/>
          <w:szCs w:val="20"/>
        </w:rPr>
        <w:pBdr>
          <w:top w:val="none" w:color="000000" w:sz="0" w:space="0"/>
          <w:left w:val="none" w:color="000000" w:sz="0" w:space="0"/>
          <w:bottom w:val="none" w:color="000000" w:sz="0" w:space="0"/>
          <w:right w:val="none" w:color="000000" w:sz="0" w:space="0"/>
        </w:pBdr>
        <w:outlineLvl w:val="0"/>
      </w:pPr>
      <w:r/>
      <w:bookmarkStart w:id="137" w:name="_Toc213751408"/>
      <w:r>
        <w:rPr>
          <w:rFonts w:hint="eastAsia" w:ascii="黑体" w:hAnsi="黑体" w:eastAsia="黑体" w:cs="黑体"/>
          <w:sz w:val="44"/>
          <w:szCs w:val="20"/>
        </w:rPr>
        <w:t xml:space="preserve">第五章 </w:t>
      </w:r>
      <w:bookmarkEnd w:id="130"/>
      <w:r>
        <w:rPr>
          <w:rFonts w:hint="eastAsia" w:ascii="黑体" w:hAnsi="黑体" w:eastAsia="黑体" w:cs="黑体"/>
          <w:sz w:val="44"/>
          <w:szCs w:val="20"/>
        </w:rPr>
        <w:t xml:space="preserve">评标方法与评标标准</w:t>
      </w:r>
      <w:bookmarkEnd w:id="137"/>
      <w:r/>
      <w:r/>
    </w:p>
    <w:p>
      <w:pPr>
        <w:ind w:firstLine="482"/>
        <w:jc w:val="left"/>
        <w:spacing w:line="560" w:lineRule="exact"/>
        <w:widowControl/>
        <w:rPr>
          <w:rFonts w:hint="eastAsia" w:asciiTheme="minorEastAsia" w:hAnsiTheme="minorEastAsia" w:cstheme="minorEastAsia"/>
          <w:b/>
          <w:bCs/>
          <w:sz w:val="24"/>
          <w:szCs w:val="20"/>
        </w:rPr>
        <w:outlineLvl w:val="1"/>
      </w:pPr>
      <w:r>
        <w:rPr>
          <w:rFonts w:hint="eastAsia" w:asciiTheme="minorEastAsia" w:hAnsiTheme="minorEastAsia" w:cstheme="minorEastAsia"/>
          <w:b/>
          <w:bCs/>
          <w:sz w:val="24"/>
          <w:szCs w:val="20"/>
        </w:rPr>
        <w:t xml:space="preserve">一、定标原则</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sz w:val="24"/>
          <w:szCs w:val="20"/>
        </w:rPr>
        <w:t xml:space="preserve">本项目采用</w:t>
      </w:r>
      <w:r>
        <w:rPr>
          <w:rFonts w:hint="eastAsia" w:ascii="宋体" w:hAnsi="宋体" w:eastAsia="Arial" w:cs="宋体"/>
          <w:sz w:val="24"/>
          <w:szCs w:val="20"/>
          <w:u w:val="single"/>
        </w:rPr>
        <w:t xml:space="preserve"> 综合评分 </w:t>
      </w:r>
      <w:r>
        <w:rPr>
          <w:rFonts w:hint="eastAsia" w:ascii="宋体" w:hAnsi="宋体" w:eastAsia="Arial" w:cs="宋体"/>
          <w:sz w:val="24"/>
          <w:szCs w:val="20"/>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w:t>
      </w:r>
      <w:r>
        <w:rPr>
          <w:rFonts w:hint="eastAsia" w:ascii="宋体" w:hAnsi="宋体" w:eastAsia="宋体" w:cs="宋体"/>
          <w:sz w:val="24"/>
          <w:szCs w:val="20"/>
        </w:rPr>
        <w:t xml:space="preserve">各分包分别</w:t>
      </w:r>
      <w:r>
        <w:rPr>
          <w:rFonts w:hint="eastAsia" w:ascii="宋体" w:hAnsi="宋体" w:eastAsia="Arial" w:cs="宋体"/>
          <w:sz w:val="24"/>
          <w:szCs w:val="20"/>
        </w:rPr>
        <w:t xml:space="preserve">选取1名中标候选人。</w:t>
      </w:r>
      <w:r>
        <w:rPr>
          <w:rFonts w:hint="eastAsia" w:ascii="宋体" w:hAnsi="宋体" w:eastAsia="宋体" w:cs="宋体"/>
          <w:sz w:val="24"/>
          <w:szCs w:val="20"/>
        </w:rPr>
        <w:t xml:space="preserve">政府采购政策功能落实如下：</w:t>
      </w:r>
      <w:r/>
    </w:p>
    <w:p>
      <w:pPr>
        <w:numPr>
          <w:ilvl w:val="0"/>
          <w:numId w:val="5"/>
        </w:num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小微型企业价格扣除</w:t>
      </w:r>
      <w:r/>
    </w:p>
    <w:p>
      <w:pPr>
        <w:ind w:firstLine="480"/>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（1）本项目不专门面向中小企业采购，对符合规定的小型和微型企业报价给予20%的扣除价格，用扣除后的价格参与评审；</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需按照采购文件的要求提供相应的《中小企业声明函》。</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（3）企业标准请参照《关于印发中小企业划型标准规定的通知》（工信部联企业〔2011〕300号）文件规定自行填写。</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2、残疾人福利单位价格扣除</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（1）本项目对残疾人福利性单位视同小型、微型企业，给予20%的价格扣除。</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（2）残疾人福利单位需按照采购文件的要求提供《残疾人福利性单位声明函》。</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（3）残疾人福利单位标准请参照《关于促进残疾人就业政府采购政策的通知》（财库〔2017〕141号）。</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3、监狱和戒毒企业价格扣除</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（1）本项目对监狱和戒毒企业（简称监狱企业）视同小型、微型企业，给予20%的价格扣除。</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（2）监狱企业参加政府采购活动时，需提供由省级以上监狱管理局、戒毒管理局</w:t>
      </w:r>
      <w:r>
        <w:rPr>
          <w:rFonts w:hint="eastAsia" w:ascii="宋体" w:hAnsi="宋体" w:eastAsia="宋体" w:cs="宋体"/>
          <w:sz w:val="24"/>
          <w:szCs w:val="20"/>
        </w:rPr>
        <w:t xml:space="preserve">（</w:t>
      </w:r>
      <w:r>
        <w:rPr>
          <w:rFonts w:hint="eastAsia" w:ascii="宋体" w:hAnsi="宋体" w:eastAsia="Arial" w:cs="宋体"/>
          <w:sz w:val="24"/>
          <w:szCs w:val="20"/>
        </w:rPr>
        <w:t xml:space="preserve">含新疆生产建设兵团</w:t>
      </w:r>
      <w:r>
        <w:rPr>
          <w:rFonts w:hint="eastAsia" w:ascii="宋体" w:hAnsi="宋体" w:eastAsia="宋体" w:cs="宋体"/>
          <w:sz w:val="24"/>
          <w:szCs w:val="20"/>
        </w:rPr>
        <w:t xml:space="preserve">）</w:t>
      </w:r>
      <w:r>
        <w:rPr>
          <w:rFonts w:hint="eastAsia" w:ascii="宋体" w:hAnsi="宋体" w:eastAsia="Arial" w:cs="宋体"/>
          <w:sz w:val="24"/>
          <w:szCs w:val="20"/>
        </w:rPr>
        <w:t xml:space="preserve">出具的属于监狱企业的证明文件。</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如不提供上述证明文件，价格将不做相应扣除。</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（3）监狱企业标准请参照《关于政府采购支持监狱企业发展有关问题的通知》（财库〔2014〕68号）。</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4、残疾人福利单位、监狱企业属于小型、微型企业的，不重复享受政策。</w:t>
      </w:r>
      <w:r/>
    </w:p>
    <w:p>
      <w:pPr>
        <w:ind w:firstLine="482"/>
        <w:jc w:val="left"/>
        <w:spacing w:line="560" w:lineRule="exact"/>
        <w:widowControl/>
        <w:rPr>
          <w:rFonts w:ascii="宋体" w:hAnsi="宋体" w:eastAsia="Arial" w:cs="宋体"/>
          <w:sz w:val="24"/>
          <w:szCs w:val="20"/>
        </w:rPr>
        <w:sectPr>
          <w:footnotePr/>
          <w:endnotePr/>
          <w:type w:val="nextPage"/>
          <w:pgSz w:w="11906" w:h="16838" w:orient="portrait"/>
          <w:pgMar w:top="1440" w:right="1633" w:bottom="1440" w:left="1633" w:header="737" w:footer="1134" w:gutter="0"/>
          <w:cols w:num="1" w:sep="0" w:space="425" w:equalWidth="1"/>
          <w:docGrid w:linePitch="360"/>
          <w:titlePg/>
        </w:sectPr>
      </w:pPr>
      <w:r>
        <w:rPr>
          <w:rFonts w:hint="eastAsia" w:ascii="宋体" w:hAnsi="宋体" w:eastAsia="Arial" w:cs="宋体"/>
          <w:sz w:val="24"/>
          <w:szCs w:val="20"/>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eastAsia="宋体" w:cs="宋体"/>
          <w:sz w:val="24"/>
          <w:szCs w:val="20"/>
          <w:lang w:eastAsia="zh-CN"/>
        </w:rPr>
        <w:t xml:space="preserve">投标人</w:t>
      </w:r>
      <w:r>
        <w:rPr>
          <w:rFonts w:hint="eastAsia" w:ascii="宋体" w:hAnsi="宋体" w:eastAsia="Arial" w:cs="宋体"/>
          <w:sz w:val="24"/>
          <w:szCs w:val="20"/>
        </w:rPr>
        <w:t xml:space="preserve">必须在响应文件中提供所投产品的相关证书</w:t>
      </w:r>
      <w:r>
        <w:rPr>
          <w:rFonts w:hint="eastAsia" w:ascii="宋体" w:hAnsi="宋体" w:eastAsia="宋体" w:cs="宋体"/>
          <w:sz w:val="24"/>
          <w:szCs w:val="20"/>
        </w:rPr>
        <w:t xml:space="preserve">（</w:t>
      </w:r>
      <w:r>
        <w:rPr>
          <w:rFonts w:hint="eastAsia" w:ascii="宋体" w:hAnsi="宋体" w:eastAsia="Arial" w:cs="宋体"/>
          <w:sz w:val="24"/>
          <w:szCs w:val="20"/>
        </w:rPr>
        <w:t xml:space="preserve">由国家确定的认证机构出具的、处于有效期之内的节能产品、环境标志产品认证证书</w:t>
      </w:r>
      <w:r>
        <w:rPr>
          <w:rFonts w:hint="eastAsia" w:ascii="宋体" w:hAnsi="宋体" w:eastAsia="宋体" w:cs="宋体"/>
          <w:sz w:val="24"/>
          <w:szCs w:val="20"/>
        </w:rPr>
        <w:t xml:space="preserve">）</w:t>
      </w:r>
      <w:r>
        <w:rPr>
          <w:rFonts w:hint="eastAsia" w:ascii="宋体" w:hAnsi="宋体" w:eastAsia="Arial" w:cs="宋体"/>
          <w:sz w:val="24"/>
          <w:szCs w:val="20"/>
        </w:rPr>
        <w:t xml:space="preserve">。节能产品、环境标志产品品目清单以递交响应文件截止时已正式公布的最近一期信息为准，</w:t>
      </w:r>
      <w:r>
        <w:rPr>
          <w:rFonts w:hint="eastAsia" w:ascii="宋体" w:hAnsi="宋体" w:eastAsia="Arial" w:cs="宋体"/>
          <w:b/>
          <w:bCs/>
          <w:i/>
          <w:iCs/>
          <w:sz w:val="24"/>
          <w:szCs w:val="20"/>
        </w:rPr>
        <w:t xml:space="preserve">如属政府强制采购产品未提供认证证书的或认证证书提供不全的将视为未实质性响应采购要求</w:t>
      </w:r>
      <w:r>
        <w:rPr>
          <w:rFonts w:hint="eastAsia" w:ascii="宋体" w:hAnsi="宋体" w:eastAsia="Arial" w:cs="宋体"/>
          <w:sz w:val="24"/>
          <w:szCs w:val="20"/>
        </w:rPr>
        <w:t xml:space="preserve">。其他条件相同情况下，应当优先采购节能产品、环境标志产品。</w:t>
      </w:r>
      <w:r/>
    </w:p>
    <w:p>
      <w:pPr>
        <w:ind w:firstLine="482"/>
        <w:jc w:val="left"/>
        <w:spacing w:line="560" w:lineRule="exact"/>
        <w:widowControl/>
        <w:rPr>
          <w:rFonts w:hint="eastAsia" w:ascii="宋体" w:hAnsi="宋体" w:cs="宋体"/>
          <w:b/>
          <w:bCs/>
          <w:sz w:val="24"/>
          <w:szCs w:val="20"/>
        </w:rPr>
        <w:outlineLvl w:val="1"/>
      </w:pPr>
      <w:r>
        <w:rPr>
          <w:rFonts w:hint="eastAsia" w:ascii="宋体" w:hAnsi="宋体" w:eastAsia="Arial" w:cs="宋体"/>
          <w:b/>
          <w:bCs/>
          <w:sz w:val="24"/>
          <w:szCs w:val="20"/>
        </w:rPr>
        <w:t xml:space="preserve">二、评标方法与评标标准</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宋体" w:cs="宋体"/>
          <w:b/>
          <w:bCs/>
          <w:sz w:val="24"/>
          <w:szCs w:val="20"/>
        </w:rPr>
        <w:t xml:space="preserve">分包一：公共数据平台优化升级及数据治理应用项目</w:t>
      </w:r>
      <w:r/>
    </w:p>
    <w:p>
      <w:pPr>
        <w:ind w:firstLine="482"/>
        <w:jc w:val="left"/>
        <w:spacing w:line="560" w:lineRule="exact"/>
        <w:widowControl/>
        <w:rPr>
          <w:rFonts w:ascii="Times New Roman" w:hAnsi="Times New Roman" w:cs="Times New Roman"/>
          <w:sz w:val="24"/>
          <w:szCs w:val="20"/>
        </w:rPr>
      </w:pPr>
      <w:r>
        <w:rPr>
          <w:rFonts w:ascii="Times New Roman" w:hAnsi="Times New Roman" w:eastAsia="Arial" w:cs="Times New Roman"/>
          <w:sz w:val="24"/>
          <w:szCs w:val="20"/>
        </w:rPr>
        <w:t xml:space="preserve">本项目评分总分值为100分。</w:t>
      </w:r>
      <w:r/>
    </w:p>
    <w:tbl>
      <w:tblPr>
        <w:tblStyle w:val="7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167"/>
        <w:gridCol w:w="6385"/>
        <w:gridCol w:w="603"/>
      </w:tblGrid>
      <w:tr>
        <w:trPr>
          <w:trHeight w:val="703"/>
        </w:trPr>
        <w:tc>
          <w:tcPr>
            <w:tcW w:w="396" w:type="pct"/>
            <w:vAlign w:val="center"/>
            <w:textDirection w:val="lrTb"/>
            <w:noWrap w:val="false"/>
          </w:tcPr>
          <w:p>
            <w:pPr>
              <w:jc w:val="center"/>
              <w:widowControl/>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序号</w:t>
            </w:r>
            <w:r/>
          </w:p>
        </w:tc>
        <w:tc>
          <w:tcPr>
            <w:tcW w:w="659" w:type="pct"/>
            <w:vAlign w:val="center"/>
            <w:textDirection w:val="lrTb"/>
            <w:noWrap w:val="false"/>
          </w:tcPr>
          <w:p>
            <w:pPr>
              <w:jc w:val="center"/>
              <w:widowControl/>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评分</w:t>
            </w:r>
            <w:r/>
          </w:p>
          <w:p>
            <w:pPr>
              <w:jc w:val="center"/>
              <w:widowControl/>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项目</w:t>
            </w:r>
            <w:r/>
          </w:p>
        </w:tc>
        <w:tc>
          <w:tcPr>
            <w:tcW w:w="3605" w:type="pct"/>
            <w:vAlign w:val="center"/>
            <w:textDirection w:val="lrTb"/>
            <w:noWrap w:val="false"/>
          </w:tcPr>
          <w:p>
            <w:pPr>
              <w:jc w:val="center"/>
              <w:widowControl/>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评分办法</w:t>
            </w:r>
            <w:r/>
          </w:p>
        </w:tc>
        <w:tc>
          <w:tcPr>
            <w:tcW w:w="340" w:type="pct"/>
            <w:vAlign w:val="center"/>
            <w:textDirection w:val="lrTb"/>
            <w:noWrap w:val="false"/>
          </w:tcPr>
          <w:p>
            <w:pPr>
              <w:jc w:val="center"/>
              <w:widowControl/>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分值</w:t>
            </w:r>
            <w:r/>
          </w:p>
        </w:tc>
      </w:tr>
      <w:tr>
        <w:trPr>
          <w:trHeight w:val="788"/>
        </w:trPr>
        <w:tc>
          <w:tcPr>
            <w:tcW w:w="396" w:type="pct"/>
            <w:vAlign w:val="center"/>
            <w:textDirection w:val="lrTb"/>
            <w:noWrap w:val="false"/>
          </w:tcPr>
          <w:p>
            <w:pPr>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w:t>
            </w:r>
            <w:r/>
          </w:p>
        </w:tc>
        <w:tc>
          <w:tcPr>
            <w:tcW w:w="659" w:type="pct"/>
            <w:vAlign w:val="center"/>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价格</w:t>
            </w:r>
            <w:r/>
          </w:p>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（10分）</w:t>
            </w:r>
            <w:r/>
          </w:p>
        </w:tc>
        <w:tc>
          <w:tcPr>
            <w:tcW w:w="3605" w:type="pct"/>
            <w:vAlign w:val="center"/>
            <w:textDirection w:val="lrTb"/>
            <w:noWrap w:val="false"/>
          </w:tcPr>
          <w:p>
            <w:pPr>
              <w:jc w:val="left"/>
              <w:widowControl/>
              <w:tabs>
                <w:tab w:val="left" w:pos="312" w:leader="none"/>
              </w:tabs>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价格分统一采用低价优先法计算，即满足要求且投标价格最低的投标报价为评标基准价，其价格分为满分。其他投标人的价格分统一按照下列公式计算：投标报价得分=（评标基准价/投标报价）×10，小数点后保留2位。</w:t>
            </w:r>
            <w:r/>
          </w:p>
        </w:tc>
        <w:tc>
          <w:tcPr>
            <w:tcW w:w="340" w:type="pct"/>
            <w:vAlign w:val="center"/>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10</w:t>
            </w:r>
            <w:r/>
          </w:p>
        </w:tc>
      </w:tr>
      <w:tr>
        <w:trPr>
          <w:trHeight w:val="788"/>
        </w:trPr>
        <w:tc>
          <w:tcPr>
            <w:tcW w:w="396"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2</w:t>
            </w:r>
            <w:r/>
          </w:p>
        </w:tc>
        <w:tc>
          <w:tcPr>
            <w:tcW w:w="659"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企业</w:t>
            </w:r>
            <w:r>
              <w:rPr>
                <w:rFonts w:ascii="Times New Roman" w:hAnsi="Times New Roman" w:eastAsia="宋体" w:cs="Times New Roman"/>
                <w:color w:val="000000"/>
                <w:szCs w:val="21"/>
              </w:rPr>
              <w:t xml:space="preserve">实力（</w:t>
            </w:r>
            <w:r>
              <w:rPr>
                <w:rFonts w:hint="eastAsia" w:ascii="Times New Roman" w:hAnsi="Times New Roman" w:eastAsia="宋体" w:cs="Times New Roman"/>
                <w:color w:val="000000"/>
                <w:szCs w:val="21"/>
              </w:rPr>
              <w:t xml:space="preserve">5</w:t>
            </w:r>
            <w:r>
              <w:rPr>
                <w:rFonts w:ascii="Times New Roman" w:hAnsi="Times New Roman" w:eastAsia="宋体" w:cs="Times New Roman"/>
                <w:color w:val="000000"/>
                <w:szCs w:val="21"/>
              </w:rPr>
              <w:t xml:space="preserve">分）</w:t>
            </w:r>
            <w:r/>
          </w:p>
        </w:tc>
        <w:tc>
          <w:tcPr>
            <w:tcW w:w="3605" w:type="pct"/>
            <w:vAlign w:val="center"/>
            <w:textDirection w:val="lrTb"/>
            <w:noWrap w:val="false"/>
          </w:tcPr>
          <w:p>
            <w:pPr>
              <w:jc w:val="left"/>
              <w:widowControl/>
              <w:tabs>
                <w:tab w:val="left" w:pos="312" w:leader="none"/>
              </w:tabs>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投标人</w:t>
            </w:r>
            <w:r>
              <w:rPr>
                <w:rFonts w:hint="eastAsia" w:ascii="Times New Roman" w:hAnsi="Times New Roman" w:eastAsia="宋体" w:cs="Times New Roman"/>
                <w:color w:val="000000" w:themeColor="text1"/>
                <w:szCs w:val="21"/>
                <w14:textFill>
                  <w14:solidFill>
                    <w14:schemeClr w14:val="tx1"/>
                  </w14:solidFill>
                </w14:textFill>
              </w:rPr>
              <w:t xml:space="preserve">具有</w:t>
            </w:r>
            <w:r>
              <w:rPr>
                <w:rFonts w:hint="eastAsia" w:ascii="Times New Roman" w:hAnsi="Times New Roman" w:eastAsia="宋体" w:cs="Times New Roman"/>
                <w:color w:val="000000" w:themeColor="text1"/>
                <w:szCs w:val="21"/>
                <w:lang w:val="en-US" w:eastAsia="zh-CN"/>
                <w14:textFill>
                  <w14:solidFill>
                    <w14:schemeClr w14:val="tx1"/>
                  </w14:solidFill>
                </w14:textFill>
              </w:rPr>
              <w:t xml:space="preserve">有效期内</w:t>
            </w:r>
            <w:r>
              <w:rPr>
                <w:rFonts w:hint="eastAsia" w:ascii="Times New Roman" w:hAnsi="Times New Roman" w:eastAsia="宋体" w:cs="Times New Roman"/>
                <w:color w:val="000000" w:themeColor="text1"/>
                <w:szCs w:val="21"/>
                <w14:textFill>
                  <w14:solidFill>
                    <w14:schemeClr w14:val="tx1"/>
                  </w14:solidFill>
                </w14:textFill>
              </w:rPr>
              <w:t xml:space="preserve">的</w:t>
            </w:r>
            <w:r>
              <w:rPr>
                <w:rFonts w:ascii="Times New Roman" w:hAnsi="Times New Roman" w:eastAsia="宋体" w:cs="Times New Roman"/>
                <w:color w:val="000000"/>
                <w:szCs w:val="21"/>
              </w:rPr>
              <w:t xml:space="preserve">质量管理体系认证证书、信息技术服务管理体系认证证书、信息安全管理体系认证证书、隐私信息管理体系认证证书</w:t>
            </w:r>
            <w:r>
              <w:rPr>
                <w:rFonts w:hint="eastAsia" w:ascii="Times New Roman" w:hAnsi="Times New Roman" w:eastAsia="宋体" w:cs="Times New Roman"/>
                <w:color w:val="000000"/>
                <w:szCs w:val="21"/>
              </w:rPr>
              <w:t xml:space="preserve">、</w:t>
            </w:r>
            <w:r>
              <w:rPr>
                <w:rFonts w:ascii="Times New Roman" w:hAnsi="Times New Roman" w:eastAsia="宋体" w:cs="Times New Roman"/>
                <w:color w:val="000000"/>
                <w:szCs w:val="21"/>
              </w:rPr>
              <w:t xml:space="preserve">数据管理能力成熟度等级证书</w:t>
            </w:r>
            <w:r>
              <w:rPr>
                <w:rFonts w:hint="eastAsia" w:ascii="Times New Roman" w:hAnsi="Times New Roman" w:eastAsia="宋体" w:cs="Times New Roman"/>
                <w:color w:val="000000"/>
                <w:szCs w:val="21"/>
              </w:rPr>
              <w:t xml:space="preserve">，</w:t>
            </w:r>
            <w:bookmarkStart w:id="138" w:name="OLE_LINK12"/>
            <w:r>
              <w:rPr>
                <w:rFonts w:hint="eastAsia" w:ascii="Times New Roman" w:hAnsi="Times New Roman" w:eastAsia="宋体" w:cs="Times New Roman"/>
                <w:color w:val="000000"/>
                <w:szCs w:val="21"/>
              </w:rPr>
              <w:t xml:space="preserve">每提供1项证书得1分，最高得5分。</w:t>
            </w:r>
            <w:bookmarkEnd w:id="138"/>
            <w:r/>
            <w:r/>
          </w:p>
          <w:p>
            <w:pPr>
              <w:jc w:val="left"/>
              <w:widowControl/>
              <w:tabs>
                <w:tab w:val="left" w:pos="312" w:leader="none"/>
              </w:tabs>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注：投标时提供上述证书的彩色扫描件，投标人应当确保证书开标当天处于有效期内，否则不予认可。以上材料均须加盖投标人公章，否则不予认可，不提供不得分。</w:t>
            </w:r>
            <w:r/>
          </w:p>
        </w:tc>
        <w:tc>
          <w:tcPr>
            <w:tcW w:w="340"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5</w:t>
            </w:r>
            <w:r/>
          </w:p>
        </w:tc>
      </w:tr>
      <w:tr>
        <w:trPr>
          <w:trHeight w:val="525"/>
        </w:trPr>
        <w:tc>
          <w:tcPr>
            <w:tcW w:w="396" w:type="pct"/>
            <w:vAlign w:val="center"/>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3</w:t>
            </w:r>
            <w:r/>
          </w:p>
        </w:tc>
        <w:tc>
          <w:tcPr>
            <w:tcW w:w="659" w:type="pct"/>
            <w:vAlign w:val="center"/>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业绩案例</w:t>
            </w:r>
            <w:r/>
          </w:p>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（12分）</w:t>
            </w:r>
            <w:r/>
          </w:p>
        </w:tc>
        <w:tc>
          <w:tcPr>
            <w:tcW w:w="3605" w:type="pct"/>
            <w:vAlign w:val="center"/>
            <w:textDirection w:val="lrTb"/>
            <w:noWrap w:val="false"/>
          </w:tcPr>
          <w:p>
            <w:pPr>
              <w:jc w:val="left"/>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2022年1月1日以来（以合同签订日期为准），投标人具有类似项目业绩（类似项目是指具有大数据平台建设类、数据治理类、数据运维运营类项目业绩至少一项在内的信息化建设项目），每提供一个</w:t>
            </w:r>
            <w:r>
              <w:rPr>
                <w:rFonts w:hint="eastAsia" w:ascii="Times New Roman" w:hAnsi="Times New Roman" w:eastAsia="宋体" w:cs="Times New Roman"/>
                <w:color w:val="000000"/>
                <w:szCs w:val="21"/>
                <w:lang w:val="en-US" w:eastAsia="zh-CN"/>
              </w:rPr>
              <w:t xml:space="preserve">有效</w:t>
            </w:r>
            <w:r>
              <w:rPr>
                <w:rFonts w:hint="eastAsia" w:ascii="Times New Roman" w:hAnsi="Times New Roman" w:eastAsia="宋体" w:cs="Times New Roman"/>
                <w:color w:val="000000"/>
                <w:szCs w:val="21"/>
              </w:rPr>
              <w:t xml:space="preserve">业绩得3分，本项最高得12分。</w:t>
            </w:r>
            <w:r/>
          </w:p>
          <w:p>
            <w:pPr>
              <w:jc w:val="left"/>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注：需提供合同关键页扫描件（合同关键页包括但不限于合同首页、合同签订日期页、双方盖章页等关键页）作为得分依据；未提供或评标委员会无法凭所提供资料判断是否得分的情况，一律作不得分处理。</w:t>
            </w:r>
            <w:r>
              <w:rPr>
                <w:rFonts w:ascii="Times New Roman" w:hAnsi="Times New Roman" w:eastAsia="宋体" w:cs="Times New Roman"/>
                <w:color w:val="000000"/>
                <w:szCs w:val="21"/>
              </w:rPr>
              <w:t xml:space="preserve"> </w:t>
            </w:r>
            <w:r/>
          </w:p>
        </w:tc>
        <w:tc>
          <w:tcPr>
            <w:tcW w:w="340" w:type="pct"/>
            <w:vAlign w:val="center"/>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12</w:t>
            </w:r>
            <w:r/>
          </w:p>
        </w:tc>
      </w:tr>
      <w:tr>
        <w:trPr>
          <w:trHeight w:val="788"/>
        </w:trPr>
        <w:tc>
          <w:tcPr>
            <w:tcW w:w="396" w:type="pct"/>
            <w:vAlign w:val="center"/>
            <w:textDirection w:val="lrTb"/>
            <w:noWrap w:val="false"/>
          </w:tcPr>
          <w:p>
            <w:pPr>
              <w:jc w:val="center"/>
              <w:widowControl/>
              <w:rPr>
                <w:rFonts w:ascii="Times New Roman" w:hAnsi="Times New Roman" w:eastAsia="宋体" w:cs="Times New Roman"/>
                <w:color w:val="000000"/>
                <w:szCs w:val="21"/>
              </w:rPr>
            </w:pPr>
            <w:r/>
            <w:bookmarkStart w:id="139" w:name="_Hlk214013294"/>
            <w:r>
              <w:rPr>
                <w:rFonts w:ascii="Times New Roman" w:hAnsi="Times New Roman" w:eastAsia="宋体" w:cs="Times New Roman"/>
                <w:color w:val="000000"/>
                <w:szCs w:val="21"/>
              </w:rPr>
              <w:t xml:space="preserve">4</w:t>
            </w:r>
            <w:r/>
          </w:p>
        </w:tc>
        <w:tc>
          <w:tcPr>
            <w:tcW w:w="659"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团队</w:t>
            </w:r>
            <w:r>
              <w:rPr>
                <w:rFonts w:ascii="Times New Roman" w:hAnsi="Times New Roman" w:eastAsia="宋体" w:cs="Times New Roman"/>
                <w:color w:val="000000"/>
                <w:szCs w:val="21"/>
              </w:rPr>
              <w:t xml:space="preserve">能力</w:t>
            </w:r>
            <w:r/>
          </w:p>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rPr>
                <w:rFonts w:hint="eastAsia" w:ascii="Times New Roman" w:hAnsi="Times New Roman" w:eastAsia="宋体" w:cs="Times New Roman"/>
                <w:color w:val="000000"/>
                <w:szCs w:val="21"/>
              </w:rPr>
              <w:t xml:space="preserve">2</w:t>
            </w:r>
            <w:r>
              <w:rPr>
                <w:rFonts w:ascii="Times New Roman" w:hAnsi="Times New Roman" w:eastAsia="宋体" w:cs="Times New Roman"/>
                <w:color w:val="000000"/>
                <w:szCs w:val="21"/>
              </w:rPr>
              <w:t xml:space="preserve">分）</w:t>
            </w:r>
            <w:r/>
          </w:p>
        </w:tc>
        <w:tc>
          <w:tcPr>
            <w:tcW w:w="3605" w:type="pct"/>
            <w:vAlign w:val="center"/>
            <w:textDirection w:val="lrTb"/>
            <w:noWrap w:val="false"/>
          </w:tcPr>
          <w:p>
            <w:pPr>
              <w:jc w:val="left"/>
              <w:widowControl/>
              <w:rPr>
                <w:rFonts w:ascii="Times New Roman" w:hAnsi="Times New Roman" w:cs="Times New Roman"/>
              </w:rPr>
            </w:pPr>
            <w:r>
              <w:rPr>
                <w:rFonts w:hint="eastAsia" w:ascii="Times New Roman" w:hAnsi="Times New Roman" w:cs="Times New Roman"/>
              </w:rPr>
              <w:t xml:space="preserve">（1）项目经理（1人）：具有国家人力资源和社会保障部工业和信息化部批准颁发的信息系统项目管理师、系统规划与管理师证书，每满足一项得2分，本项最高得4分，未提供不得分；</w:t>
            </w:r>
            <w:r/>
          </w:p>
          <w:p>
            <w:pPr>
              <w:jc w:val="left"/>
              <w:widowControl/>
              <w:rPr>
                <w:rFonts w:ascii="Times New Roman" w:hAnsi="Times New Roman" w:cs="Times New Roman"/>
              </w:rPr>
            </w:pPr>
            <w:r>
              <w:rPr>
                <w:rFonts w:hint="eastAsia" w:ascii="Times New Roman" w:hAnsi="Times New Roman" w:cs="Times New Roman"/>
              </w:rPr>
              <w:t xml:space="preserve">（2）项目技术负责人（1人）：具有国家人力资源和社会保障部 工业和信息化部批准颁发的系统架构设计师、软件设计师证书，每满足一项得2分，本项最高得4分，未提供不得分；</w:t>
            </w:r>
            <w:r/>
          </w:p>
          <w:p>
            <w:pPr>
              <w:jc w:val="left"/>
              <w:widowControl/>
              <w:rPr>
                <w:rFonts w:ascii="Times New Roman" w:hAnsi="Times New Roman" w:cs="Times New Roman"/>
              </w:rPr>
            </w:pPr>
            <w:r>
              <w:rPr>
                <w:rFonts w:hint="eastAsia" w:ascii="Times New Roman" w:hAnsi="Times New Roman" w:cs="Times New Roman"/>
              </w:rPr>
              <w:t xml:space="preserve">（3）项目组其他成员（除项目经理、技术负责人外）：具有国家人力资源和社会保障部工业和信息化部批准颁发的系统架构设计师、网络规划设计师、数据库系统工程师、系统集成项目管理工程师、系统分析师；中国网络安全审查认证和市场监管大数据中心颁发的CISAW信息安全保障人员证书，有一人得1分，最高得4分。未提供不得分；</w:t>
            </w:r>
            <w:r>
              <w:rPr>
                <w:rFonts w:hint="eastAsia" w:ascii="Times New Roman" w:hAnsi="Times New Roman" w:cs="Times New Roman"/>
                <w:color w:val="000000" w:themeColor="text1"/>
                <w14:textFill>
                  <w14:solidFill>
                    <w14:schemeClr w14:val="tx1"/>
                  </w14:solidFill>
                </w14:textFill>
              </w:rPr>
              <w:t xml:space="preserve">（以上人员及证书不重复计分）</w:t>
            </w:r>
            <w:r/>
          </w:p>
          <w:p>
            <w:pPr>
              <w:jc w:val="left"/>
              <w:widowControl/>
              <w:rPr>
                <w:rFonts w:ascii="Times New Roman" w:hAnsi="Times New Roman" w:cs="Times New Roman"/>
              </w:rPr>
            </w:pPr>
            <w:r>
              <w:rPr>
                <w:rFonts w:hint="eastAsia" w:ascii="Times New Roman" w:hAnsi="Times New Roman" w:cs="Times New Roman"/>
              </w:rPr>
              <w:t xml:space="preserve">注：①上述证明材料以原件的扫描件并加盖投标人公章进行计分；②以上所有人员需提供</w:t>
            </w:r>
            <w:r>
              <w:rPr>
                <w:rFonts w:hint="eastAsia" w:ascii="Times New Roman" w:hAnsi="Times New Roman" w:cs="Times New Roman"/>
                <w:lang w:eastAsia="zh-CN"/>
              </w:rPr>
              <w:t xml:space="preserve">投标人</w:t>
            </w:r>
            <w:r>
              <w:rPr>
                <w:rFonts w:hint="eastAsia" w:ascii="Times New Roman" w:hAnsi="Times New Roman" w:cs="Times New Roman"/>
              </w:rPr>
              <w:t xml:space="preserve">投标前3个月内任意1个月缴纳社保的证明材料并加盖投标人公章。</w:t>
            </w:r>
            <w:r/>
          </w:p>
        </w:tc>
        <w:tc>
          <w:tcPr>
            <w:tcW w:w="340" w:type="pct"/>
            <w:vAlign w:val="center"/>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rPr>
                <w:rFonts w:hint="eastAsia" w:ascii="Times New Roman" w:hAnsi="Times New Roman" w:eastAsia="宋体" w:cs="Times New Roman"/>
                <w:color w:val="000000"/>
                <w:szCs w:val="21"/>
              </w:rPr>
              <w:t xml:space="preserve">2</w:t>
            </w:r>
            <w:bookmarkEnd w:id="139"/>
            <w:r/>
            <w:r/>
          </w:p>
        </w:tc>
      </w:tr>
      <w:tr>
        <w:trPr>
          <w:trHeight w:val="558"/>
        </w:trPr>
        <w:tc>
          <w:tcPr>
            <w:tcW w:w="396" w:type="pct"/>
            <w:vAlign w:val="center"/>
            <w:vMerge w:val="restart"/>
            <w:textDirection w:val="lrTb"/>
            <w:noWrap w:val="false"/>
          </w:tcPr>
          <w:p>
            <w:pPr>
              <w:jc w:val="center"/>
              <w:widowControl/>
              <w:rPr>
                <w:rFonts w:ascii="Times New Roman" w:hAnsi="Times New Roman" w:eastAsia="宋体" w:cs="Times New Roman"/>
                <w:color w:val="000000"/>
                <w:szCs w:val="21"/>
              </w:rPr>
            </w:pPr>
            <w:r/>
            <w:bookmarkStart w:id="140" w:name="_Hlk213933642"/>
            <w:r>
              <w:rPr>
                <w:rFonts w:ascii="Times New Roman" w:hAnsi="Times New Roman" w:eastAsia="宋体" w:cs="Times New Roman"/>
                <w:color w:val="000000"/>
                <w:szCs w:val="21"/>
              </w:rPr>
              <w:t xml:space="preserve">5</w:t>
            </w:r>
            <w:r/>
          </w:p>
        </w:tc>
        <w:tc>
          <w:tcPr>
            <w:tcW w:w="659" w:type="pct"/>
            <w:vAlign w:val="center"/>
            <w:vMerge w:val="restart"/>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技术方案（</w:t>
            </w:r>
            <w:r>
              <w:rPr>
                <w:rFonts w:hint="eastAsia" w:ascii="Times New Roman" w:hAnsi="Times New Roman" w:eastAsia="宋体" w:cs="Times New Roman"/>
                <w:color w:val="000000"/>
                <w:szCs w:val="21"/>
              </w:rPr>
              <w:t xml:space="preserve">35分</w:t>
            </w:r>
            <w:r>
              <w:rPr>
                <w:rFonts w:ascii="Times New Roman" w:hAnsi="Times New Roman" w:eastAsia="宋体" w:cs="Times New Roman"/>
                <w:color w:val="000000"/>
                <w:szCs w:val="21"/>
              </w:rPr>
              <w:t xml:space="preserve">）</w:t>
            </w:r>
            <w:r/>
          </w:p>
        </w:tc>
        <w:tc>
          <w:tcPr>
            <w:tcW w:w="3605" w:type="pct"/>
            <w:vAlign w:val="center"/>
            <w:textDirection w:val="lrTb"/>
            <w:noWrap w:val="false"/>
          </w:tcPr>
          <w:p>
            <w:pPr>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1.投标人根据第四章采购需求中“</w:t>
            </w:r>
            <w:r>
              <w:rPr>
                <w:rFonts w:hint="eastAsia" w:ascii="Times New Roman" w:hAnsi="Times New Roman" w:eastAsia="宋体" w:cs="Times New Roman"/>
                <w:color w:val="000000"/>
                <w:szCs w:val="21"/>
              </w:rPr>
              <w:t xml:space="preserve">现状及需求分析</w:t>
            </w:r>
            <w:r>
              <w:rPr>
                <w:rFonts w:ascii="Times New Roman" w:hAnsi="Times New Roman" w:eastAsia="宋体" w:cs="Times New Roman"/>
                <w:color w:val="000000"/>
                <w:szCs w:val="21"/>
              </w:rPr>
              <w:t xml:space="preserve">”</w:t>
            </w:r>
            <w:r>
              <w:rPr>
                <w:rFonts w:hint="eastAsia" w:ascii="Times New Roman" w:hAnsi="Times New Roman" w:eastAsia="宋体" w:cs="Times New Roman"/>
                <w:color w:val="000000"/>
                <w:szCs w:val="21"/>
              </w:rPr>
              <w:t xml:space="preserve">要求</w:t>
            </w:r>
            <w:r>
              <w:rPr>
                <w:rFonts w:ascii="Times New Roman" w:hAnsi="Times New Roman" w:eastAsia="宋体" w:cs="Times New Roman"/>
                <w:color w:val="000000"/>
                <w:szCs w:val="21"/>
              </w:rPr>
              <w:t xml:space="preserve">，提供详细的</w:t>
            </w:r>
            <w:bookmarkStart w:id="141" w:name="_Hlk213925950"/>
            <w:r>
              <w:rPr>
                <w:rFonts w:ascii="Times New Roman" w:hAnsi="Times New Roman" w:eastAsia="宋体" w:cs="Times New Roman"/>
                <w:color w:val="000000"/>
                <w:szCs w:val="21"/>
              </w:rPr>
              <w:t xml:space="preserve">现状及需求分析</w:t>
            </w:r>
            <w:bookmarkEnd w:id="141"/>
            <w:r>
              <w:rPr>
                <w:rFonts w:ascii="Times New Roman" w:hAnsi="Times New Roman" w:eastAsia="宋体" w:cs="Times New Roman"/>
                <w:color w:val="000000"/>
                <w:szCs w:val="21"/>
              </w:rPr>
              <w:t xml:space="preserve">，</w:t>
            </w:r>
            <w:r>
              <w:rPr>
                <w:rFonts w:hint="eastAsia" w:ascii="Times New Roman" w:hAnsi="Times New Roman" w:eastAsia="宋体" w:cs="Times New Roman"/>
                <w:color w:val="000000"/>
                <w:szCs w:val="21"/>
              </w:rPr>
              <w:t xml:space="preserve">方案至少包含</w:t>
            </w:r>
            <w:r>
              <w:rPr>
                <w:rFonts w:ascii="Times New Roman" w:hAnsi="Times New Roman" w:eastAsia="宋体" w:cs="Times New Roman"/>
                <w:color w:val="000000"/>
                <w:szCs w:val="21"/>
              </w:rPr>
              <w:t xml:space="preserve">：相关政策分析、</w:t>
            </w:r>
            <w:r>
              <w:rPr>
                <w:rFonts w:hint="eastAsia" w:ascii="Times New Roman" w:hAnsi="Times New Roman" w:eastAsia="宋体" w:cs="Times New Roman"/>
                <w:color w:val="000000"/>
                <w:szCs w:val="21"/>
              </w:rPr>
              <w:t xml:space="preserve">现状及</w:t>
            </w:r>
            <w:r>
              <w:rPr>
                <w:rFonts w:ascii="Times New Roman" w:hAnsi="Times New Roman" w:eastAsia="宋体" w:cs="Times New Roman"/>
                <w:color w:val="000000"/>
                <w:szCs w:val="21"/>
              </w:rPr>
              <w:t xml:space="preserve">问题分析、需求分析等内容。</w:t>
            </w:r>
            <w:r>
              <w:rPr>
                <w:rFonts w:hint="eastAsia" w:ascii="Times New Roman" w:hAnsi="Times New Roman" w:eastAsia="宋体" w:cs="Times New Roman"/>
                <w:color w:val="000000"/>
                <w:szCs w:val="21"/>
              </w:rPr>
              <w:t xml:space="preserve">方案应结构清晰，内容科学合理，具有前瞻性。方案优于要求的得4分，符合要求得3分，不符合要求或未提供的不得分。</w:t>
            </w:r>
            <w:r/>
          </w:p>
          <w:p>
            <w:pP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340"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4</w:t>
            </w:r>
            <w:r/>
          </w:p>
        </w:tc>
      </w:tr>
      <w:tr>
        <w:trPr>
          <w:trHeight w:val="1050"/>
        </w:trPr>
        <w:tc>
          <w:tcPr>
            <w:tcW w:w="396" w:type="pct"/>
            <w:vAlign w:val="center"/>
            <w:vMerge w:val="continue"/>
            <w:textDirection w:val="lrTb"/>
            <w:noWrap w:val="false"/>
          </w:tcPr>
          <w:p>
            <w:pPr>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659"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3605" w:type="pct"/>
            <w:vAlign w:val="center"/>
            <w:textDirection w:val="lrTb"/>
            <w:noWrap w:val="false"/>
          </w:tcPr>
          <w:p>
            <w:pPr>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2.投标人根据第四章采购需求中“总体设计</w:t>
            </w:r>
            <w:r>
              <w:rPr>
                <w:rFonts w:hint="eastAsia" w:ascii="Times New Roman" w:hAnsi="Times New Roman" w:eastAsia="宋体" w:cs="Times New Roman"/>
                <w:color w:val="000000"/>
                <w:szCs w:val="21"/>
              </w:rPr>
              <w:t xml:space="preserve">方案</w:t>
            </w:r>
            <w:r>
              <w:rPr>
                <w:rFonts w:ascii="Times New Roman" w:hAnsi="Times New Roman" w:eastAsia="宋体" w:cs="Times New Roman"/>
                <w:color w:val="000000"/>
                <w:szCs w:val="21"/>
              </w:rPr>
              <w:t xml:space="preserve">”</w:t>
            </w:r>
            <w:r>
              <w:rPr>
                <w:rFonts w:hint="eastAsia" w:ascii="Times New Roman" w:hAnsi="Times New Roman" w:eastAsia="宋体" w:cs="Times New Roman"/>
                <w:color w:val="000000"/>
                <w:szCs w:val="21"/>
              </w:rPr>
              <w:t xml:space="preserve">要求</w:t>
            </w:r>
            <w:r>
              <w:rPr>
                <w:rFonts w:ascii="Times New Roman" w:hAnsi="Times New Roman" w:eastAsia="宋体" w:cs="Times New Roman"/>
                <w:color w:val="000000"/>
                <w:szCs w:val="21"/>
              </w:rPr>
              <w:t xml:space="preserve">，提供科学合理的总体设计方案，设计目标明确，结构层次划分清晰合理准确，方案至少包含：</w:t>
            </w:r>
            <w:r>
              <w:rPr>
                <w:rFonts w:hint="eastAsia" w:ascii="Times New Roman" w:hAnsi="Times New Roman" w:eastAsia="宋体" w:cs="Times New Roman"/>
                <w:color w:val="000000"/>
                <w:szCs w:val="21"/>
              </w:rPr>
              <w:t xml:space="preserve">①</w:t>
            </w:r>
            <w:r>
              <w:rPr>
                <w:rFonts w:ascii="Times New Roman" w:hAnsi="Times New Roman" w:eastAsia="宋体" w:cs="Times New Roman"/>
                <w:color w:val="000000"/>
                <w:szCs w:val="21"/>
              </w:rPr>
              <w:t xml:space="preserve">设计原则、</w:t>
            </w:r>
            <w:r>
              <w:rPr>
                <w:rFonts w:hint="eastAsia" w:ascii="Times New Roman" w:hAnsi="Times New Roman" w:eastAsia="宋体" w:cs="Times New Roman"/>
                <w:color w:val="000000"/>
                <w:szCs w:val="21"/>
              </w:rPr>
              <w:t xml:space="preserve">②</w:t>
            </w:r>
            <w:r>
              <w:rPr>
                <w:rFonts w:ascii="Times New Roman" w:hAnsi="Times New Roman" w:eastAsia="宋体" w:cs="Times New Roman"/>
                <w:color w:val="000000"/>
                <w:szCs w:val="21"/>
              </w:rPr>
              <w:t xml:space="preserve">总体架构、</w:t>
            </w:r>
            <w:r>
              <w:rPr>
                <w:rFonts w:hint="eastAsia" w:ascii="Times New Roman" w:hAnsi="Times New Roman" w:eastAsia="宋体" w:cs="Times New Roman"/>
                <w:color w:val="000000"/>
                <w:szCs w:val="21"/>
              </w:rPr>
              <w:t xml:space="preserve">③</w:t>
            </w:r>
            <w:r>
              <w:rPr>
                <w:rFonts w:ascii="Times New Roman" w:hAnsi="Times New Roman" w:eastAsia="宋体" w:cs="Times New Roman"/>
                <w:color w:val="000000"/>
                <w:szCs w:val="21"/>
              </w:rPr>
              <w:t xml:space="preserve">数据架构、</w:t>
            </w:r>
            <w:r>
              <w:rPr>
                <w:rFonts w:hint="eastAsia" w:ascii="Times New Roman" w:hAnsi="Times New Roman" w:eastAsia="宋体" w:cs="Times New Roman"/>
                <w:color w:val="000000"/>
                <w:szCs w:val="21"/>
              </w:rPr>
              <w:t xml:space="preserve">④</w:t>
            </w:r>
            <w:r>
              <w:rPr>
                <w:rFonts w:ascii="Times New Roman" w:hAnsi="Times New Roman" w:eastAsia="宋体" w:cs="Times New Roman"/>
                <w:color w:val="000000"/>
                <w:szCs w:val="21"/>
              </w:rPr>
              <w:t xml:space="preserve">技术架构、</w:t>
            </w:r>
            <w:r>
              <w:rPr>
                <w:rFonts w:hint="eastAsia" w:ascii="Times New Roman" w:hAnsi="Times New Roman" w:eastAsia="宋体" w:cs="Times New Roman"/>
                <w:color w:val="000000"/>
                <w:szCs w:val="21"/>
              </w:rPr>
              <w:t xml:space="preserve">⑤</w:t>
            </w:r>
            <w:r>
              <w:rPr>
                <w:rFonts w:ascii="Times New Roman" w:hAnsi="Times New Roman" w:eastAsia="宋体" w:cs="Times New Roman"/>
                <w:color w:val="000000"/>
                <w:szCs w:val="21"/>
              </w:rPr>
              <w:t xml:space="preserve">网络架构等内容。</w:t>
            </w:r>
            <w:r>
              <w:rPr>
                <w:rFonts w:hint="eastAsia" w:ascii="Times New Roman" w:hAnsi="Times New Roman" w:eastAsia="宋体" w:cs="Times New Roman"/>
                <w:color w:val="000000"/>
                <w:szCs w:val="21"/>
              </w:rPr>
              <w:t xml:space="preserve">方案应结构清晰，内容科学合理，具有前瞻性。方案优于要求的得5分，符合要求得4分，不符合要求或未提供的不得分。</w:t>
            </w:r>
            <w:r/>
          </w:p>
          <w:p>
            <w:pPr>
              <w:jc w:val="left"/>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340"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5</w:t>
            </w:r>
            <w:r/>
          </w:p>
        </w:tc>
      </w:tr>
      <w:tr>
        <w:trPr>
          <w:trHeight w:val="1050"/>
        </w:trPr>
        <w:tc>
          <w:tcPr>
            <w:tcW w:w="396" w:type="pct"/>
            <w:vAlign w:val="center"/>
            <w:vMerge w:val="continue"/>
            <w:textDirection w:val="lrTb"/>
            <w:noWrap w:val="false"/>
          </w:tcPr>
          <w:p>
            <w:pPr>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659"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3605" w:type="pct"/>
            <w:vAlign w:val="center"/>
            <w:textDirection w:val="lrTb"/>
            <w:noWrap w:val="false"/>
          </w:tcPr>
          <w:p>
            <w:pP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3.投标人根据本项目第四章采购需求中“新建数字资源‘一本账’管理系统”要求，提供科学合理的方案，方案至少包含：“一本账”首页、业务办理、清单管理、指标管理、运营管理、智能服务、“一本账”驾驶舱、“一本账”移动端、“一本账”数据对接、相关系统对接等内容。方案应结构清晰，内容科学合理，具有前瞻性。方案优于要求的得5分，符合要求得4分，不符合要求或未提供的不得分。</w:t>
            </w:r>
            <w:r/>
          </w:p>
          <w:p>
            <w:pP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340"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5</w:t>
            </w:r>
            <w:r/>
          </w:p>
        </w:tc>
      </w:tr>
      <w:tr>
        <w:trPr>
          <w:trHeight w:val="1050"/>
        </w:trPr>
        <w:tc>
          <w:tcPr>
            <w:tcW w:w="396" w:type="pct"/>
            <w:vAlign w:val="center"/>
            <w:vMerge w:val="continue"/>
            <w:textDirection w:val="lrTb"/>
            <w:noWrap w:val="false"/>
          </w:tcPr>
          <w:p>
            <w:pPr>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659"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3605" w:type="pct"/>
            <w:vAlign w:val="center"/>
            <w:textDirection w:val="lrTb"/>
            <w:noWrap w:val="false"/>
          </w:tcPr>
          <w:p>
            <w:pP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4.投标人根据本项目第四章采购需求中“公共数据平台优化升级”要求，提供科学合理的方案，方案至少包含：包括升级数据目录模块、新建数据规划模块、升级数据标准模块、升级数据建模模块、新建数据开发模块、升级供需对接模块、新建异议处理模块、新建主专题库管理模块、新建数据专区管理模块、新建数据微场景开发模块、新建应用创新推广模块、升级用户管理模块、升级运行管理模块、升级公共数据开放网站、与相关系统对接等内容。方案应结构清晰，内容科学合理，具有前瞻性。方案优于要求的得5分，符合要求得4分，不符合要求或未提供的不得分。</w:t>
            </w:r>
            <w:r/>
          </w:p>
          <w:p>
            <w:pP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340"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5</w:t>
            </w:r>
            <w:r/>
          </w:p>
        </w:tc>
      </w:tr>
      <w:tr>
        <w:trPr>
          <w:trHeight w:val="699"/>
        </w:trPr>
        <w:tc>
          <w:tcPr>
            <w:tcW w:w="396" w:type="pct"/>
            <w:vAlign w:val="center"/>
            <w:vMerge w:val="continue"/>
            <w:textDirection w:val="lrTb"/>
            <w:noWrap w:val="false"/>
          </w:tcPr>
          <w:p>
            <w:pPr>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659"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3605" w:type="pct"/>
            <w:vAlign w:val="center"/>
            <w:textDirection w:val="lrTb"/>
            <w:noWrap w:val="false"/>
          </w:tcPr>
          <w:p>
            <w:pP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5.投标人根据本项目第四章采购需求中“系统国产化改造”要求，提供科学合理的方案，方案至少包含：现状分析、风险及应对措施分析、国产化适配迁移、整体适配验证、存量历史数据迁移、业务应用割接、系统上线等服务方案。方案应结构清晰，内容科学合理，具有前瞻性。方案优于要求的得5分，符合要求得4分，不符合要求或未提供的不得分。</w:t>
            </w:r>
            <w:r/>
          </w:p>
          <w:p>
            <w:pP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340"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5</w:t>
            </w:r>
            <w:r/>
          </w:p>
        </w:tc>
      </w:tr>
      <w:tr>
        <w:trPr>
          <w:trHeight w:val="1050"/>
        </w:trPr>
        <w:tc>
          <w:tcPr>
            <w:tcW w:w="396" w:type="pct"/>
            <w:vAlign w:val="center"/>
            <w:vMerge w:val="continue"/>
            <w:textDirection w:val="lrTb"/>
            <w:noWrap w:val="false"/>
          </w:tcPr>
          <w:p>
            <w:pPr>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659"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3605" w:type="pct"/>
            <w:vAlign w:val="center"/>
            <w:textDirection w:val="lrTb"/>
            <w:noWrap w:val="false"/>
          </w:tcPr>
          <w:p>
            <w:pP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6.投标人根据本项目第四章采购需求中“数据清查治理服务”，提供科学合理的方案，方案至少包含：清查治理服务、数据目录治理服务、部门原始库治理、中心标准库治理、基础库治理、主专题库建设。方案应结构清晰，内容科学合理，具有前瞻性。方案优于要求的得5分，符合要求得4分，不符合要求或未提供的不得分。</w:t>
            </w:r>
            <w:r/>
          </w:p>
          <w:p>
            <w:pP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340"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5</w:t>
            </w:r>
            <w:r/>
          </w:p>
        </w:tc>
      </w:tr>
      <w:tr>
        <w:trPr>
          <w:trHeight w:val="1050"/>
        </w:trPr>
        <w:tc>
          <w:tcPr>
            <w:tcW w:w="396" w:type="pct"/>
            <w:vAlign w:val="center"/>
            <w:vMerge w:val="continue"/>
            <w:textDirection w:val="lrTb"/>
            <w:noWrap w:val="false"/>
          </w:tcPr>
          <w:p>
            <w:pPr>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659"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3605" w:type="pct"/>
            <w:vAlign w:val="center"/>
            <w:textDirection w:val="lrTb"/>
            <w:noWrap w:val="false"/>
          </w:tcPr>
          <w:p>
            <w:pP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7.投标人根据本项目第四章采购需求中“数据微场景开发服务”要求，提供科学合理方案，方案至少包含：场景需求征集梳理、场景数据规划准备、场景数据治理、场景数据开发、场景数据服务封装等服务。方案应结构清晰，内容科学合理，具有前瞻性。方案优于要求的得3分，符合要求得2分，不符合要求或未提供的不得分。</w:t>
            </w:r>
            <w:r/>
          </w:p>
          <w:p>
            <w:pP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340"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3</w:t>
            </w:r>
            <w:r/>
          </w:p>
        </w:tc>
      </w:tr>
      <w:tr>
        <w:trPr>
          <w:trHeight w:val="841"/>
        </w:trPr>
        <w:tc>
          <w:tcPr>
            <w:tcW w:w="396" w:type="pct"/>
            <w:vAlign w:val="center"/>
            <w:vMerge w:val="continue"/>
            <w:textDirection w:val="lrTb"/>
            <w:noWrap w:val="false"/>
          </w:tcPr>
          <w:p>
            <w:pPr>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659"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3605" w:type="pct"/>
            <w:vAlign w:val="center"/>
            <w:textDirection w:val="lrTb"/>
            <w:noWrap w:val="false"/>
          </w:tcPr>
          <w:p>
            <w:pP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8.投标人根据本项目第四章采购需求中“综合治税共享交换通道迁移”要求，提供科学合理方案，方案至少包含：清单采集工具、综合治税管理系统、综合治税主题库建设。方案应结构清晰，内容科学合理，具有前瞻性。方案优于要求的得3分，符合要求得2分，不符合要求或未提供的不得分。</w:t>
            </w:r>
            <w:r/>
          </w:p>
          <w:p>
            <w:pP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340"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3</w:t>
            </w:r>
            <w:r/>
          </w:p>
        </w:tc>
      </w:tr>
      <w:tr>
        <w:trPr>
          <w:trHeight w:val="788"/>
        </w:trPr>
        <w:tc>
          <w:tcPr>
            <w:tcW w:w="396" w:type="pct"/>
            <w:vAlign w:val="center"/>
            <w:vMerge w:val="restart"/>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6</w:t>
            </w:r>
            <w:r/>
          </w:p>
        </w:tc>
        <w:tc>
          <w:tcPr>
            <w:tcW w:w="659" w:type="pct"/>
            <w:vAlign w:val="center"/>
            <w:vMerge w:val="restart"/>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实施方案</w:t>
            </w:r>
            <w:r/>
          </w:p>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rPr>
                <w:rFonts w:hint="eastAsia" w:ascii="Times New Roman" w:hAnsi="Times New Roman" w:eastAsia="宋体" w:cs="Times New Roman"/>
                <w:color w:val="000000"/>
                <w:szCs w:val="21"/>
              </w:rPr>
              <w:t xml:space="preserve">0</w:t>
            </w:r>
            <w:r>
              <w:rPr>
                <w:rFonts w:ascii="Times New Roman" w:hAnsi="Times New Roman" w:eastAsia="宋体" w:cs="Times New Roman"/>
                <w:color w:val="000000"/>
                <w:szCs w:val="21"/>
              </w:rPr>
              <w:t xml:space="preserve">分）</w:t>
            </w:r>
            <w:r/>
          </w:p>
        </w:tc>
        <w:tc>
          <w:tcPr>
            <w:tcW w:w="3605" w:type="pct"/>
            <w:vAlign w:val="center"/>
            <w:textDirection w:val="lrTb"/>
            <w:noWrap w:val="false"/>
          </w:tcPr>
          <w:p>
            <w:pPr>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1.投标人根据本项目第四章采购需求中“项目实施要求”，提供科学合理的项目实施方案，方案至少包含：</w:t>
            </w:r>
            <w:r>
              <w:rPr>
                <w:rFonts w:hint="eastAsia" w:ascii="Times New Roman" w:hAnsi="Times New Roman" w:eastAsia="宋体" w:cs="Times New Roman"/>
                <w:color w:val="000000"/>
                <w:szCs w:val="21"/>
              </w:rPr>
              <w:t xml:space="preserve">①</w:t>
            </w:r>
            <w:r>
              <w:rPr>
                <w:rFonts w:ascii="Times New Roman" w:hAnsi="Times New Roman" w:eastAsia="宋体" w:cs="Times New Roman"/>
                <w:color w:val="000000"/>
                <w:szCs w:val="21"/>
              </w:rPr>
              <w:t xml:space="preserve">项目组织</w:t>
            </w:r>
            <w:r>
              <w:rPr>
                <w:rFonts w:hint="eastAsia" w:ascii="Times New Roman" w:hAnsi="Times New Roman" w:eastAsia="宋体" w:cs="Times New Roman"/>
                <w:color w:val="000000"/>
                <w:szCs w:val="21"/>
              </w:rPr>
              <w:t xml:space="preserve">及</w:t>
            </w:r>
            <w:r>
              <w:rPr>
                <w:rFonts w:ascii="Times New Roman" w:hAnsi="Times New Roman" w:eastAsia="宋体" w:cs="Times New Roman"/>
                <w:color w:val="000000"/>
                <w:szCs w:val="21"/>
              </w:rPr>
              <w:t xml:space="preserve">人员保障、</w:t>
            </w:r>
            <w:r>
              <w:rPr>
                <w:rFonts w:hint="eastAsia" w:ascii="Times New Roman" w:hAnsi="Times New Roman" w:eastAsia="宋体" w:cs="Times New Roman"/>
                <w:color w:val="000000"/>
                <w:szCs w:val="21"/>
              </w:rPr>
              <w:t xml:space="preserve">②项目进度安排、③</w:t>
            </w:r>
            <w:r>
              <w:rPr>
                <w:rFonts w:ascii="Times New Roman" w:hAnsi="Times New Roman" w:eastAsia="宋体" w:cs="Times New Roman"/>
                <w:color w:val="000000"/>
                <w:szCs w:val="21"/>
              </w:rPr>
              <w:t xml:space="preserve">项目管理</w:t>
            </w:r>
            <w:r>
              <w:rPr>
                <w:rFonts w:hint="eastAsia" w:ascii="Times New Roman" w:hAnsi="Times New Roman" w:eastAsia="宋体" w:cs="Times New Roman"/>
                <w:color w:val="000000"/>
                <w:szCs w:val="21"/>
              </w:rPr>
              <w:t xml:space="preserve">、④项目验收</w:t>
            </w:r>
            <w:r>
              <w:rPr>
                <w:rFonts w:ascii="Times New Roman" w:hAnsi="Times New Roman" w:eastAsia="宋体" w:cs="Times New Roman"/>
                <w:color w:val="000000"/>
                <w:szCs w:val="21"/>
              </w:rPr>
              <w:t xml:space="preserve">等内容。</w:t>
            </w:r>
            <w:r>
              <w:rPr>
                <w:rFonts w:hint="eastAsia" w:ascii="Times New Roman" w:hAnsi="Times New Roman" w:eastAsia="宋体" w:cs="Times New Roman"/>
                <w:color w:val="000000"/>
                <w:szCs w:val="21"/>
              </w:rPr>
              <w:t xml:space="preserve">方案应结构清晰，内容科学合理，具有前瞻性。方案优于要求的得3分，符合要求得2分，不符合要求或未提供的不得分。</w:t>
            </w:r>
            <w:r/>
          </w:p>
          <w:p>
            <w:pP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340"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3</w:t>
            </w:r>
            <w:r/>
          </w:p>
        </w:tc>
      </w:tr>
      <w:tr>
        <w:trPr>
          <w:trHeight w:val="788"/>
        </w:trPr>
        <w:tc>
          <w:tcPr>
            <w:tcW w:w="396" w:type="pct"/>
            <w:vAlign w:val="center"/>
            <w:vMerge w:val="continue"/>
            <w:textDirection w:val="lrTb"/>
            <w:noWrap w:val="false"/>
          </w:tcPr>
          <w:p>
            <w:pPr>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659"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3605" w:type="pct"/>
            <w:vAlign w:val="center"/>
            <w:textDirection w:val="lrTb"/>
            <w:noWrap w:val="false"/>
          </w:tcPr>
          <w:p>
            <w:pPr>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2.投标人根据本项目第四章采购需求中“项目培训要求”，提供科学合理的培训服务方案，方案至少包含：培训目的、培训服务原则、培训质量保障、培训计划、培训内容等内容。</w:t>
            </w:r>
            <w:r>
              <w:rPr>
                <w:rFonts w:hint="eastAsia" w:ascii="Times New Roman" w:hAnsi="Times New Roman" w:eastAsia="宋体" w:cs="Times New Roman"/>
                <w:color w:val="000000"/>
                <w:szCs w:val="21"/>
              </w:rPr>
              <w:t xml:space="preserve">方案应结构清晰，内容科学合理，具有前瞻性。方案优于要求的得3分，符合要求得2分，不符合要求或未提供的不得分。</w:t>
            </w:r>
            <w:r/>
          </w:p>
          <w:p>
            <w:pP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340" w:type="pct"/>
            <w:vAlign w:val="center"/>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3</w:t>
            </w:r>
            <w:r/>
          </w:p>
        </w:tc>
      </w:tr>
      <w:tr>
        <w:trPr>
          <w:trHeight w:val="1050"/>
        </w:trPr>
        <w:tc>
          <w:tcPr>
            <w:tcW w:w="396" w:type="pct"/>
            <w:vAlign w:val="center"/>
            <w:vMerge w:val="continue"/>
            <w:textDirection w:val="lrTb"/>
            <w:noWrap w:val="false"/>
          </w:tcPr>
          <w:p>
            <w:pPr>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659"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3605" w:type="pct"/>
            <w:vAlign w:val="center"/>
            <w:textDirection w:val="lrTb"/>
            <w:noWrap w:val="false"/>
          </w:tcPr>
          <w:p>
            <w:pPr>
              <w:rPr>
                <w:rFonts w:ascii="Times New Roman" w:hAnsi="Times New Roman" w:eastAsia="宋体" w:cs="Times New Roman"/>
                <w:color w:val="000000"/>
                <w:szCs w:val="21"/>
              </w:rPr>
            </w:pPr>
            <w:r/>
            <w:bookmarkStart w:id="142" w:name="RANGE!C65"/>
            <w:r>
              <w:rPr>
                <w:rFonts w:ascii="Times New Roman" w:hAnsi="Times New Roman" w:eastAsia="宋体" w:cs="Times New Roman"/>
                <w:color w:val="000000"/>
                <w:szCs w:val="21"/>
              </w:rPr>
              <w:t xml:space="preserve">3.投标人根据本项目第四章采购需求中“售后服务要求”，提供科学合理的售后服务方案，方案至少包含：</w:t>
            </w:r>
            <w:r>
              <w:rPr>
                <w:rFonts w:hint="eastAsia" w:ascii="Times New Roman" w:hAnsi="Times New Roman" w:eastAsia="宋体" w:cs="Times New Roman"/>
                <w:color w:val="000000"/>
                <w:szCs w:val="21"/>
              </w:rPr>
              <w:t xml:space="preserve">①</w:t>
            </w:r>
            <w:r>
              <w:rPr>
                <w:rFonts w:ascii="Times New Roman" w:hAnsi="Times New Roman" w:eastAsia="宋体" w:cs="Times New Roman"/>
                <w:color w:val="000000"/>
                <w:szCs w:val="21"/>
              </w:rPr>
              <w:t xml:space="preserve">服务内容、</w:t>
            </w:r>
            <w:r>
              <w:rPr>
                <w:rFonts w:hint="eastAsia" w:ascii="Times New Roman" w:hAnsi="Times New Roman" w:eastAsia="宋体" w:cs="Times New Roman"/>
                <w:color w:val="000000"/>
                <w:szCs w:val="21"/>
              </w:rPr>
              <w:t xml:space="preserve">②</w:t>
            </w:r>
            <w:r>
              <w:rPr>
                <w:rFonts w:ascii="Times New Roman" w:hAnsi="Times New Roman" w:eastAsia="宋体" w:cs="Times New Roman"/>
                <w:color w:val="000000"/>
                <w:szCs w:val="21"/>
              </w:rPr>
              <w:t xml:space="preserve">应急处理预案、</w:t>
            </w:r>
            <w:r>
              <w:rPr>
                <w:rFonts w:hint="eastAsia" w:ascii="Times New Roman" w:hAnsi="Times New Roman" w:eastAsia="宋体" w:cs="Times New Roman"/>
                <w:color w:val="000000"/>
                <w:szCs w:val="21"/>
              </w:rPr>
              <w:t xml:space="preserve">③</w:t>
            </w:r>
            <w:r>
              <w:rPr>
                <w:rFonts w:ascii="Times New Roman" w:hAnsi="Times New Roman" w:eastAsia="宋体" w:cs="Times New Roman"/>
                <w:color w:val="000000"/>
                <w:szCs w:val="21"/>
              </w:rPr>
              <w:t xml:space="preserve">售后服务质量保障方案、</w:t>
            </w:r>
            <w:r>
              <w:rPr>
                <w:rFonts w:hint="eastAsia" w:ascii="Times New Roman" w:hAnsi="Times New Roman" w:eastAsia="宋体" w:cs="Times New Roman"/>
                <w:color w:val="000000"/>
                <w:szCs w:val="21"/>
              </w:rPr>
              <w:t xml:space="preserve">④</w:t>
            </w:r>
            <w:r>
              <w:rPr>
                <w:rFonts w:ascii="Times New Roman" w:hAnsi="Times New Roman" w:eastAsia="宋体" w:cs="Times New Roman"/>
                <w:color w:val="000000"/>
                <w:szCs w:val="21"/>
              </w:rPr>
              <w:t xml:space="preserve">服务人员稳定性保障方案等内容</w:t>
            </w:r>
            <w:bookmarkEnd w:id="142"/>
            <w:r>
              <w:rPr>
                <w:rFonts w:hint="eastAsia" w:ascii="Times New Roman" w:hAnsi="Times New Roman" w:eastAsia="宋体" w:cs="Times New Roman"/>
                <w:color w:val="000000"/>
                <w:szCs w:val="21"/>
              </w:rPr>
              <w:t xml:space="preserve">，方案应结构清晰，内容科学合理，具有前瞻性。方案优于要求的得4分，符合要求得3分，不符合要求或未提供的不得分。</w:t>
            </w:r>
            <w:r/>
          </w:p>
          <w:p>
            <w:pP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340"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4</w:t>
            </w:r>
            <w:r/>
          </w:p>
        </w:tc>
      </w:tr>
      <w:tr>
        <w:trPr>
          <w:trHeight w:val="274"/>
        </w:trPr>
        <w:tc>
          <w:tcPr>
            <w:tcW w:w="396" w:type="pct"/>
            <w:vAlign w:val="center"/>
            <w:textDirection w:val="lrTb"/>
            <w:noWrap/>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7</w:t>
            </w:r>
            <w:r/>
          </w:p>
        </w:tc>
        <w:tc>
          <w:tcPr>
            <w:tcW w:w="659" w:type="pct"/>
            <w:vAlign w:val="center"/>
            <w:textDirection w:val="lrTb"/>
            <w:noWrap w:val="false"/>
          </w:tcPr>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 xml:space="preserve">系统演示</w:t>
            </w:r>
            <w:r/>
          </w:p>
          <w:p>
            <w:pPr>
              <w:jc w:val="center"/>
              <w:widowControl/>
              <w:rPr>
                <w:rFonts w:ascii="Times New Roman" w:hAnsi="Times New Roman" w:eastAsia="宋体" w:cs="Times New Roman"/>
                <w:color w:val="000000"/>
                <w:sz w:val="22"/>
                <w:szCs w:val="22"/>
              </w:rPr>
            </w:pPr>
            <w:r>
              <w:rPr>
                <w:rFonts w:ascii="Times New Roman" w:hAnsi="Times New Roman" w:eastAsia="宋体" w:cs="Times New Roman"/>
                <w:color w:val="000000"/>
                <w:szCs w:val="21"/>
              </w:rPr>
              <w:t xml:space="preserve">（16分）</w:t>
            </w:r>
            <w:r/>
          </w:p>
        </w:tc>
        <w:tc>
          <w:tcPr>
            <w:tcW w:w="3605" w:type="pct"/>
            <w:vAlign w:val="center"/>
            <w:textDirection w:val="lrTb"/>
            <w:noWrap w:val="false"/>
          </w:tcPr>
          <w:p>
            <w:pPr>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1.演示数据微场景开发模块：演示数据微应用场景配置过程，支持接口、库表转数据微应用，支持数据查询、数据比对、数据核验三种应用类型：</w:t>
            </w:r>
            <w:r>
              <w:rPr>
                <w:rFonts w:hint="eastAsia" w:ascii="Times New Roman" w:hAnsi="Times New Roman" w:eastAsia="宋体" w:cs="Times New Roman"/>
                <w:color w:val="000000"/>
                <w:szCs w:val="21"/>
              </w:rPr>
              <w:t xml:space="preserve">①</w:t>
            </w:r>
            <w:r>
              <w:rPr>
                <w:rFonts w:ascii="Times New Roman" w:hAnsi="Times New Roman" w:eastAsia="宋体" w:cs="Times New Roman"/>
                <w:color w:val="000000"/>
                <w:szCs w:val="21"/>
              </w:rPr>
              <w:t xml:space="preserve">基础信息配置；</w:t>
            </w:r>
            <w:r>
              <w:rPr>
                <w:rFonts w:hint="eastAsia" w:ascii="Times New Roman" w:hAnsi="Times New Roman" w:eastAsia="宋体" w:cs="Times New Roman"/>
                <w:color w:val="000000"/>
                <w:szCs w:val="21"/>
              </w:rPr>
              <w:t xml:space="preserve">②</w:t>
            </w:r>
            <w:r>
              <w:rPr>
                <w:rFonts w:ascii="Times New Roman" w:hAnsi="Times New Roman" w:eastAsia="宋体" w:cs="Times New Roman"/>
                <w:color w:val="000000"/>
                <w:szCs w:val="21"/>
              </w:rPr>
              <w:t xml:space="preserve">应用配置；</w:t>
            </w:r>
            <w:r>
              <w:rPr>
                <w:rFonts w:hint="eastAsia" w:ascii="Times New Roman" w:hAnsi="Times New Roman" w:eastAsia="宋体" w:cs="Times New Roman"/>
                <w:color w:val="000000"/>
                <w:szCs w:val="21"/>
              </w:rPr>
              <w:t xml:space="preserve">③</w:t>
            </w:r>
            <w:r>
              <w:rPr>
                <w:rFonts w:ascii="Times New Roman" w:hAnsi="Times New Roman" w:eastAsia="宋体" w:cs="Times New Roman"/>
                <w:color w:val="000000"/>
                <w:szCs w:val="21"/>
              </w:rPr>
              <w:t xml:space="preserve">应用预览；</w:t>
            </w:r>
            <w:r>
              <w:rPr>
                <w:rFonts w:hint="eastAsia" w:ascii="Times New Roman" w:hAnsi="Times New Roman" w:eastAsia="宋体" w:cs="Times New Roman"/>
                <w:color w:val="000000"/>
                <w:szCs w:val="21"/>
              </w:rPr>
              <w:t xml:space="preserve">④</w:t>
            </w:r>
            <w:r>
              <w:rPr>
                <w:rFonts w:ascii="Times New Roman" w:hAnsi="Times New Roman" w:eastAsia="宋体" w:cs="Times New Roman"/>
                <w:color w:val="000000"/>
                <w:szCs w:val="21"/>
              </w:rPr>
              <w:t xml:space="preserve">结果下载；</w:t>
            </w:r>
            <w:r>
              <w:rPr>
                <w:rFonts w:hint="eastAsia" w:ascii="Times New Roman" w:hAnsi="Times New Roman" w:eastAsia="宋体" w:cs="Times New Roman"/>
                <w:color w:val="000000"/>
                <w:szCs w:val="21"/>
              </w:rPr>
              <w:t xml:space="preserve">⑤</w:t>
            </w:r>
            <w:r>
              <w:rPr>
                <w:rFonts w:ascii="Times New Roman" w:hAnsi="Times New Roman" w:eastAsia="宋体" w:cs="Times New Roman"/>
                <w:color w:val="000000"/>
                <w:szCs w:val="21"/>
              </w:rPr>
              <w:t xml:space="preserve">按账号、按部门授权功能；</w:t>
            </w:r>
            <w:r>
              <w:rPr>
                <w:rFonts w:hint="eastAsia" w:ascii="Times New Roman" w:hAnsi="Times New Roman" w:eastAsia="宋体" w:cs="Times New Roman"/>
                <w:color w:val="000000"/>
                <w:szCs w:val="21"/>
              </w:rPr>
              <w:t xml:space="preserve">每演示符合一项得1分，最高得5分，不演示不得分；</w:t>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2.演示数据专区管理模块：演示数据专区配置过程，包括</w:t>
            </w:r>
            <w:r>
              <w:rPr>
                <w:rFonts w:hint="eastAsia" w:ascii="Times New Roman" w:hAnsi="Times New Roman" w:eastAsia="宋体" w:cs="Times New Roman"/>
                <w:color w:val="000000"/>
                <w:szCs w:val="21"/>
              </w:rPr>
              <w:t xml:space="preserve">①</w:t>
            </w:r>
            <w:r>
              <w:rPr>
                <w:rFonts w:ascii="Times New Roman" w:hAnsi="Times New Roman" w:eastAsia="宋体" w:cs="Times New Roman"/>
                <w:color w:val="000000"/>
                <w:szCs w:val="21"/>
              </w:rPr>
              <w:t xml:space="preserve">专区配置、</w:t>
            </w:r>
            <w:r>
              <w:rPr>
                <w:rFonts w:hint="eastAsia" w:ascii="Times New Roman" w:hAnsi="Times New Roman" w:eastAsia="宋体" w:cs="Times New Roman"/>
                <w:color w:val="000000"/>
                <w:szCs w:val="21"/>
              </w:rPr>
              <w:t xml:space="preserve">②</w:t>
            </w:r>
            <w:r>
              <w:rPr>
                <w:rFonts w:ascii="Times New Roman" w:hAnsi="Times New Roman" w:eastAsia="宋体" w:cs="Times New Roman"/>
                <w:color w:val="000000"/>
                <w:szCs w:val="21"/>
              </w:rPr>
              <w:t xml:space="preserve">组件配置、</w:t>
            </w:r>
            <w:r>
              <w:rPr>
                <w:rFonts w:hint="eastAsia" w:ascii="Times New Roman" w:hAnsi="Times New Roman" w:eastAsia="宋体" w:cs="Times New Roman"/>
                <w:color w:val="000000"/>
                <w:szCs w:val="21"/>
              </w:rPr>
              <w:t xml:space="preserve">③</w:t>
            </w:r>
            <w:r>
              <w:rPr>
                <w:rFonts w:ascii="Times New Roman" w:hAnsi="Times New Roman" w:eastAsia="宋体" w:cs="Times New Roman"/>
                <w:color w:val="000000"/>
                <w:szCs w:val="21"/>
              </w:rPr>
              <w:t xml:space="preserve">角色管理、</w:t>
            </w:r>
            <w:r>
              <w:rPr>
                <w:rFonts w:hint="eastAsia" w:ascii="Times New Roman" w:hAnsi="Times New Roman" w:eastAsia="宋体" w:cs="Times New Roman"/>
                <w:color w:val="000000"/>
                <w:szCs w:val="21"/>
              </w:rPr>
              <w:t xml:space="preserve">④</w:t>
            </w:r>
            <w:r>
              <w:rPr>
                <w:rFonts w:ascii="Times New Roman" w:hAnsi="Times New Roman" w:eastAsia="宋体" w:cs="Times New Roman"/>
                <w:color w:val="000000"/>
                <w:szCs w:val="21"/>
              </w:rPr>
              <w:t xml:space="preserve">成员管理、</w:t>
            </w:r>
            <w:r>
              <w:rPr>
                <w:rFonts w:hint="eastAsia" w:ascii="Times New Roman" w:hAnsi="Times New Roman" w:eastAsia="宋体" w:cs="Times New Roman"/>
                <w:color w:val="000000"/>
                <w:szCs w:val="21"/>
              </w:rPr>
              <w:t xml:space="preserve">⑤</w:t>
            </w:r>
            <w:r>
              <w:rPr>
                <w:rFonts w:ascii="Times New Roman" w:hAnsi="Times New Roman" w:eastAsia="宋体" w:cs="Times New Roman"/>
                <w:color w:val="000000"/>
                <w:szCs w:val="21"/>
              </w:rPr>
              <w:t xml:space="preserve">个人中心；</w:t>
            </w:r>
            <w:r>
              <w:rPr>
                <w:rFonts w:hint="eastAsia" w:ascii="Times New Roman" w:hAnsi="Times New Roman" w:eastAsia="宋体" w:cs="Times New Roman"/>
                <w:color w:val="000000"/>
                <w:szCs w:val="21"/>
              </w:rPr>
              <w:t xml:space="preserve">每演示符合一项得1分，最高得5分，不演示不得分；</w:t>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3.演示数字资源“一本账”管理模块：</w:t>
            </w:r>
            <w:r>
              <w:rPr>
                <w:rFonts w:hint="eastAsia" w:ascii="Times New Roman" w:hAnsi="Times New Roman" w:eastAsia="宋体" w:cs="Times New Roman"/>
                <w:color w:val="000000"/>
                <w:szCs w:val="21"/>
              </w:rPr>
              <w:t xml:space="preserve">①</w:t>
            </w:r>
            <w:r>
              <w:rPr>
                <w:rFonts w:ascii="Times New Roman" w:hAnsi="Times New Roman" w:eastAsia="宋体" w:cs="Times New Roman"/>
                <w:color w:val="000000"/>
                <w:szCs w:val="21"/>
              </w:rPr>
              <w:t xml:space="preserve">清单管理：演示项目清单管理模块，演示查看项目详情，包括项目基本信息、关联事项、系统、数据资源、标准规范、基础设施信息以及项目图谱；</w:t>
            </w:r>
            <w:r>
              <w:rPr>
                <w:rFonts w:hint="eastAsia" w:ascii="Times New Roman" w:hAnsi="Times New Roman" w:eastAsia="宋体" w:cs="Times New Roman"/>
                <w:color w:val="000000"/>
                <w:szCs w:val="21"/>
              </w:rPr>
              <w:t xml:space="preserve">②</w:t>
            </w:r>
            <w:r>
              <w:rPr>
                <w:rFonts w:ascii="Times New Roman" w:hAnsi="Times New Roman" w:eastAsia="宋体" w:cs="Times New Roman"/>
                <w:color w:val="000000"/>
                <w:szCs w:val="21"/>
              </w:rPr>
              <w:t xml:space="preserve">指标管理：演示指标计算配置过程和指标展示；</w:t>
            </w:r>
            <w:r>
              <w:rPr>
                <w:rFonts w:hint="eastAsia" w:ascii="Times New Roman" w:hAnsi="Times New Roman" w:eastAsia="宋体" w:cs="Times New Roman"/>
                <w:color w:val="000000"/>
                <w:szCs w:val="21"/>
              </w:rPr>
              <w:t xml:space="preserve">③</w:t>
            </w:r>
            <w:r>
              <w:rPr>
                <w:rFonts w:ascii="Times New Roman" w:hAnsi="Times New Roman" w:eastAsia="宋体" w:cs="Times New Roman"/>
                <w:color w:val="000000"/>
                <w:szCs w:val="21"/>
              </w:rPr>
              <w:t xml:space="preserve">业务办理：演示新建信息化系统待办事项处理流程，包括数据编目、资源挂载等流程；</w:t>
            </w:r>
            <w:r>
              <w:rPr>
                <w:rFonts w:hint="eastAsia" w:ascii="Times New Roman" w:hAnsi="Times New Roman" w:eastAsia="宋体" w:cs="Times New Roman"/>
                <w:color w:val="000000"/>
                <w:szCs w:val="21"/>
              </w:rPr>
              <w:t xml:space="preserve">每演示符合一项得2分，最高得6分，不演示不得分；</w:t>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投标人需按照以下要求提供系统</w:t>
            </w:r>
            <w:r>
              <w:rPr>
                <w:rFonts w:hint="eastAsia" w:ascii="Times New Roman" w:hAnsi="Times New Roman" w:eastAsia="宋体" w:cs="Times New Roman"/>
                <w:color w:val="000000"/>
                <w:szCs w:val="21"/>
              </w:rPr>
              <w:t xml:space="preserve">或Demo</w:t>
            </w:r>
            <w:r>
              <w:rPr>
                <w:rFonts w:ascii="Times New Roman" w:hAnsi="Times New Roman" w:eastAsia="宋体" w:cs="Times New Roman"/>
                <w:color w:val="000000"/>
                <w:szCs w:val="21"/>
              </w:rPr>
              <w:t xml:space="preserve">演示视频文件：视频文件的格式为*.mp4或*.avi，投标人须将视频文件分段压缩为*.zip文件上传（单个文件不得大于50M，所有文件总共不得大于</w:t>
            </w:r>
            <w:r>
              <w:rPr>
                <w:rFonts w:hint="eastAsia" w:ascii="Times New Roman" w:hAnsi="Times New Roman" w:eastAsia="宋体" w:cs="Times New Roman"/>
                <w:color w:val="000000"/>
                <w:szCs w:val="21"/>
              </w:rPr>
              <w:t xml:space="preserve">300</w:t>
            </w:r>
            <w:r>
              <w:rPr>
                <w:rFonts w:ascii="Times New Roman" w:hAnsi="Times New Roman" w:eastAsia="宋体" w:cs="Times New Roman"/>
                <w:color w:val="000000"/>
                <w:szCs w:val="21"/>
              </w:rPr>
              <w:t xml:space="preserve">M）。须使用真实的应用系统</w:t>
            </w:r>
            <w:r>
              <w:rPr>
                <w:rFonts w:hint="eastAsia" w:ascii="Times New Roman" w:hAnsi="Times New Roman" w:eastAsia="宋体" w:cs="Times New Roman"/>
                <w:color w:val="000000"/>
                <w:szCs w:val="21"/>
              </w:rPr>
              <w:t xml:space="preserve">或Demo演示</w:t>
            </w:r>
            <w:r>
              <w:rPr>
                <w:rFonts w:ascii="Times New Roman" w:hAnsi="Times New Roman" w:eastAsia="宋体" w:cs="Times New Roman"/>
                <w:color w:val="000000"/>
                <w:szCs w:val="21"/>
              </w:rPr>
              <w:t xml:space="preserve">，根据演示内容的</w:t>
            </w:r>
            <w:r>
              <w:rPr>
                <w:rFonts w:hint="eastAsia" w:ascii="Times New Roman" w:hAnsi="Times New Roman" w:eastAsia="宋体" w:cs="Times New Roman"/>
                <w:color w:val="000000"/>
                <w:szCs w:val="21"/>
              </w:rPr>
              <w:t xml:space="preserve">采购需求符合性、</w:t>
            </w:r>
            <w:r>
              <w:rPr>
                <w:rFonts w:ascii="Times New Roman" w:hAnsi="Times New Roman" w:eastAsia="宋体" w:cs="Times New Roman"/>
                <w:color w:val="000000"/>
                <w:szCs w:val="21"/>
              </w:rPr>
              <w:t xml:space="preserve">功能完整性、整体集成性、操作简便性、效果流畅性等进行评分。如使用图片、静态网页、PPT</w:t>
            </w:r>
            <w:r>
              <w:rPr>
                <w:rFonts w:hint="eastAsia" w:ascii="Times New Roman" w:hAnsi="Times New Roman" w:eastAsia="宋体" w:cs="Times New Roman"/>
                <w:color w:val="000000"/>
                <w:szCs w:val="21"/>
              </w:rPr>
              <w:t xml:space="preserve">（</w:t>
            </w:r>
            <w:r>
              <w:rPr>
                <w:rFonts w:ascii="Times New Roman" w:hAnsi="Times New Roman" w:eastAsia="宋体" w:cs="Times New Roman"/>
                <w:color w:val="000000"/>
                <w:szCs w:val="21"/>
              </w:rPr>
              <w:t xml:space="preserve">演示数据无交互、演示数据无关联、演示成果无展示）等其他方式演示最多得8分。录屏时长不超过20分钟。</w:t>
            </w:r>
            <w:r/>
          </w:p>
        </w:tc>
        <w:tc>
          <w:tcPr>
            <w:tcW w:w="340" w:type="pct"/>
            <w:vAlign w:val="center"/>
            <w:textDirection w:val="lrTb"/>
            <w:noWrap/>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16</w:t>
            </w:r>
            <w:bookmarkEnd w:id="140"/>
            <w:r/>
            <w:r/>
          </w:p>
        </w:tc>
      </w:tr>
    </w:tbl>
    <w:p>
      <w:pPr>
        <w:ind w:firstLine="482"/>
        <w:spacing w:line="560" w:lineRule="exact"/>
        <w:widowControl/>
        <w:rPr>
          <w:rFonts w:ascii="Times New Roman" w:hAnsi="Times New Roman" w:eastAsia="宋体"/>
          <w:b/>
          <w:bCs/>
          <w:sz w:val="24"/>
          <w:szCs w:val="20"/>
          <w:lang w:bidi="ar"/>
        </w:rPr>
        <w:sectPr>
          <w:footnotePr/>
          <w:endnotePr/>
          <w:type w:val="nextPage"/>
          <w:pgSz w:w="11906" w:h="16838" w:orient="portrait"/>
          <w:pgMar w:top="1440" w:right="1633" w:bottom="1440" w:left="1633" w:header="737" w:footer="1134" w:gutter="0"/>
          <w:cols w:num="1" w:sep="0" w:space="425" w:equalWidth="1"/>
          <w:docGrid w:linePitch="360"/>
          <w:titlePg/>
        </w:sectPr>
        <w:outlineLvl w:val="2"/>
      </w:pPr>
      <w:r>
        <w:rPr>
          <w:rFonts w:ascii="Times New Roman" w:hAnsi="Times New Roman" w:eastAsia="宋体"/>
          <w:b/>
          <w:bCs/>
          <w:sz w:val="24"/>
          <w:szCs w:val="20"/>
          <w:lang w:bidi="ar"/>
        </w:rPr>
      </w:r>
      <w:r/>
    </w:p>
    <w:p>
      <w:pPr>
        <w:ind w:firstLine="482"/>
        <w:spacing w:line="560" w:lineRule="exact"/>
        <w:widowControl/>
        <w:rPr>
          <w:rFonts w:ascii="Times New Roman" w:hAnsi="Times New Roman" w:eastAsia="Arial"/>
          <w:b/>
          <w:bCs/>
          <w:sz w:val="24"/>
          <w:szCs w:val="20"/>
        </w:rPr>
        <w:outlineLvl w:val="2"/>
      </w:pPr>
      <w:r>
        <w:rPr>
          <w:rFonts w:hint="eastAsia" w:ascii="Times New Roman" w:hAnsi="Times New Roman" w:eastAsia="宋体"/>
          <w:b/>
          <w:bCs/>
          <w:sz w:val="24"/>
          <w:szCs w:val="20"/>
          <w:lang w:bidi="ar"/>
        </w:rPr>
        <w:t xml:space="preserve">分包二：公共数据安全防护项目</w:t>
      </w:r>
      <w:r/>
    </w:p>
    <w:p>
      <w:pPr>
        <w:ind w:firstLine="482"/>
        <w:spacing w:line="560" w:lineRule="exact"/>
        <w:widowControl/>
        <w:rPr>
          <w:rFonts w:ascii="Times New Roman" w:hAnsi="Times New Roman" w:eastAsia="宋体"/>
          <w:sz w:val="24"/>
          <w:szCs w:val="20"/>
        </w:rPr>
      </w:pPr>
      <w:r>
        <w:rPr>
          <w:rFonts w:hint="eastAsia" w:ascii="宋体" w:hAnsi="宋体" w:eastAsia="宋体" w:cs="宋体"/>
          <w:sz w:val="24"/>
          <w:szCs w:val="20"/>
          <w:lang w:bidi="ar"/>
        </w:rPr>
        <w:t xml:space="preserve">本项目评分总分值为</w:t>
      </w:r>
      <w:r>
        <w:rPr>
          <w:rFonts w:ascii="Times New Roman" w:hAnsi="Times New Roman" w:eastAsia="Arial"/>
          <w:sz w:val="24"/>
          <w:szCs w:val="20"/>
          <w:lang w:bidi="ar"/>
        </w:rPr>
        <w:t xml:space="preserve">100</w:t>
      </w:r>
      <w:r>
        <w:rPr>
          <w:rFonts w:hint="eastAsia" w:ascii="宋体" w:hAnsi="宋体" w:eastAsia="宋体" w:cs="宋体"/>
          <w:sz w:val="24"/>
          <w:szCs w:val="20"/>
          <w:lang w:bidi="ar"/>
        </w:rPr>
        <w:t xml:space="preserve">分。</w:t>
      </w:r>
      <w:r/>
    </w:p>
    <w:tbl>
      <w:tblPr>
        <w:tblStyle w:val="741"/>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1222"/>
        <w:gridCol w:w="6373"/>
        <w:gridCol w:w="597"/>
      </w:tblGrid>
      <w:tr>
        <w:trPr>
          <w:tblHeader/>
        </w:trPr>
        <w:tc>
          <w:tcPr>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Times New Roman" w:hAnsi="Times New Roman" w:eastAsia="宋体"/>
                <w:b/>
                <w:bCs/>
                <w:sz w:val="24"/>
              </w:rPr>
            </w:pPr>
            <w:r>
              <w:rPr>
                <w:rFonts w:hint="eastAsia" w:ascii="Times New Roman" w:hAnsi="Times New Roman" w:eastAsia="宋体"/>
                <w:b/>
                <w:bCs/>
                <w:sz w:val="24"/>
                <w:lang w:bidi="ar"/>
              </w:rPr>
              <w:t xml:space="preserve">序号</w:t>
            </w: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jc w:val="center"/>
              <w:widowControl/>
              <w:rPr>
                <w:rFonts w:ascii="Times New Roman" w:hAnsi="Times New Roman" w:eastAsia="宋体"/>
                <w:b/>
                <w:bCs/>
                <w:sz w:val="24"/>
              </w:rPr>
            </w:pPr>
            <w:r>
              <w:rPr>
                <w:rFonts w:hint="eastAsia" w:ascii="Times New Roman" w:hAnsi="Times New Roman" w:eastAsia="宋体"/>
                <w:b/>
                <w:bCs/>
                <w:sz w:val="24"/>
                <w:lang w:bidi="ar"/>
              </w:rPr>
              <w:t xml:space="preserve">评分</w:t>
            </w:r>
            <w:r/>
          </w:p>
          <w:p>
            <w:pPr>
              <w:jc w:val="center"/>
              <w:widowControl/>
              <w:rPr>
                <w:rFonts w:ascii="Times New Roman" w:hAnsi="Times New Roman" w:eastAsia="宋体"/>
                <w:b/>
                <w:bCs/>
                <w:sz w:val="24"/>
              </w:rPr>
            </w:pPr>
            <w:r>
              <w:rPr>
                <w:rFonts w:hint="eastAsia" w:ascii="Times New Roman" w:hAnsi="Times New Roman" w:eastAsia="宋体"/>
                <w:b/>
                <w:bCs/>
                <w:sz w:val="24"/>
                <w:lang w:bidi="ar"/>
              </w:rPr>
              <w:t xml:space="preserve">项目</w:t>
            </w:r>
            <w:r/>
          </w:p>
        </w:tc>
        <w:tc>
          <w:tcPr>
            <w:tcBorders>
              <w:top w:val="single" w:color="auto" w:sz="4" w:space="0"/>
              <w:left w:val="single" w:color="auto" w:sz="4" w:space="0"/>
              <w:bottom w:val="single" w:color="auto" w:sz="4" w:space="0"/>
              <w:right w:val="single" w:color="auto" w:sz="4" w:space="0"/>
            </w:tcBorders>
            <w:tcW w:w="3598" w:type="pct"/>
            <w:vAlign w:val="center"/>
            <w:textDirection w:val="lrTb"/>
            <w:noWrap w:val="false"/>
          </w:tcPr>
          <w:p>
            <w:pPr>
              <w:jc w:val="center"/>
              <w:widowControl/>
              <w:rPr>
                <w:rFonts w:ascii="Times New Roman" w:hAnsi="Times New Roman" w:eastAsia="宋体"/>
                <w:b/>
                <w:bCs/>
                <w:sz w:val="24"/>
              </w:rPr>
            </w:pPr>
            <w:r>
              <w:rPr>
                <w:rFonts w:hint="eastAsia" w:ascii="Times New Roman" w:hAnsi="Times New Roman" w:eastAsia="宋体"/>
                <w:b/>
                <w:bCs/>
                <w:sz w:val="24"/>
                <w:lang w:bidi="ar"/>
              </w:rPr>
              <w:t xml:space="preserve">评分办法</w:t>
            </w:r>
            <w:r/>
          </w:p>
        </w:tc>
        <w:tc>
          <w:tcPr>
            <w:tcBorders>
              <w:top w:val="single" w:color="auto" w:sz="4" w:space="0"/>
              <w:left w:val="single" w:color="auto" w:sz="4" w:space="0"/>
              <w:bottom w:val="single" w:color="auto" w:sz="4" w:space="0"/>
              <w:right w:val="single" w:color="auto" w:sz="4" w:space="0"/>
            </w:tcBorders>
            <w:tcW w:w="337" w:type="pct"/>
            <w:vAlign w:val="center"/>
            <w:textDirection w:val="lrTb"/>
            <w:noWrap w:val="false"/>
          </w:tcPr>
          <w:p>
            <w:pPr>
              <w:jc w:val="center"/>
              <w:widowControl/>
              <w:rPr>
                <w:rFonts w:ascii="Times New Roman" w:hAnsi="Times New Roman" w:eastAsia="宋体"/>
                <w:b/>
                <w:bCs/>
                <w:sz w:val="24"/>
              </w:rPr>
            </w:pPr>
            <w:r>
              <w:rPr>
                <w:rFonts w:hint="eastAsia" w:ascii="Times New Roman" w:hAnsi="Times New Roman" w:eastAsia="宋体"/>
                <w:b/>
                <w:bCs/>
                <w:sz w:val="24"/>
                <w:lang w:bidi="ar"/>
              </w:rPr>
              <w:t xml:space="preserve">分值</w:t>
            </w:r>
            <w:r/>
          </w:p>
        </w:tc>
      </w:tr>
      <w:tr>
        <w:trPr/>
        <w:tc>
          <w:tcPr>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Times New Roman" w:hAnsi="Times New Roman" w:eastAsia="宋体"/>
                <w:color w:val="000000"/>
                <w:szCs w:val="21"/>
              </w:rPr>
            </w:pPr>
            <w:r>
              <w:rPr>
                <w:rFonts w:ascii="Times New Roman" w:hAnsi="Times New Roman" w:eastAsia="宋体"/>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jc w:val="center"/>
              <w:widowControl/>
              <w:rPr>
                <w:rFonts w:ascii="Times New Roman" w:hAnsi="Times New Roman" w:eastAsia="宋体"/>
                <w:color w:val="000000"/>
                <w:szCs w:val="21"/>
              </w:rPr>
            </w:pPr>
            <w:r>
              <w:rPr>
                <w:rFonts w:hint="eastAsia" w:ascii="Times New Roman" w:hAnsi="Times New Roman" w:eastAsia="宋体"/>
                <w:color w:val="000000"/>
                <w:szCs w:val="21"/>
                <w:lang w:bidi="ar"/>
              </w:rPr>
              <w:t xml:space="preserve">价格</w:t>
            </w:r>
            <w:r/>
          </w:p>
          <w:p>
            <w:pPr>
              <w:jc w:val="center"/>
              <w:widowControl/>
              <w:rPr>
                <w:rFonts w:ascii="Times New Roman" w:hAnsi="Times New Roman" w:eastAsia="宋体"/>
                <w:color w:val="000000"/>
                <w:szCs w:val="21"/>
              </w:rPr>
            </w:pPr>
            <w:r>
              <w:rPr>
                <w:rFonts w:hint="eastAsia" w:ascii="Times New Roman" w:hAnsi="Times New Roman" w:eastAsia="宋体"/>
                <w:color w:val="000000"/>
                <w:szCs w:val="21"/>
                <w:lang w:bidi="ar"/>
              </w:rPr>
              <w:t xml:space="preserve">（</w:t>
            </w:r>
            <w:r>
              <w:rPr>
                <w:rFonts w:ascii="Times New Roman" w:hAnsi="Times New Roman" w:eastAsia="宋体"/>
                <w:color w:val="000000"/>
                <w:szCs w:val="21"/>
                <w:lang w:bidi="ar"/>
              </w:rPr>
              <w:t xml:space="preserve">10</w:t>
            </w:r>
            <w:r>
              <w:rPr>
                <w:rFonts w:hint="eastAsia" w:ascii="Times New Roman" w:hAnsi="Times New Roman" w:eastAsia="宋体"/>
                <w:color w:val="000000"/>
                <w:szCs w:val="21"/>
                <w:lang w:bidi="ar"/>
              </w:rPr>
              <w:t xml:space="preserve">分）</w:t>
            </w:r>
            <w:r/>
          </w:p>
        </w:tc>
        <w:tc>
          <w:tcPr>
            <w:tcBorders>
              <w:top w:val="single" w:color="auto" w:sz="4" w:space="0"/>
              <w:left w:val="single" w:color="auto" w:sz="4" w:space="0"/>
              <w:bottom w:val="single" w:color="auto" w:sz="4" w:space="0"/>
              <w:right w:val="single" w:color="auto" w:sz="4" w:space="0"/>
            </w:tcBorders>
            <w:tcW w:w="3598" w:type="pct"/>
            <w:vAlign w:val="center"/>
            <w:textDirection w:val="lrTb"/>
            <w:noWrap w:val="false"/>
          </w:tcPr>
          <w:p>
            <w:pPr>
              <w:rPr>
                <w:rFonts w:ascii="Times New Roman" w:hAnsi="Times New Roman" w:eastAsia="宋体"/>
                <w:color w:val="000000"/>
                <w:szCs w:val="21"/>
              </w:rPr>
            </w:pPr>
            <w:r>
              <w:rPr>
                <w:rFonts w:hint="eastAsia" w:ascii="Times New Roman" w:hAnsi="Times New Roman" w:eastAsia="宋体"/>
                <w:color w:val="000000"/>
                <w:szCs w:val="21"/>
                <w:lang w:bidi="ar"/>
              </w:rPr>
              <w:t xml:space="preserve">价格分统一采用低价优先法计算，即满足要求且投标价格最低的投标报价为评标基准价，其价格分为满分。其他投标人的价格分统一按照下列公式计算：投标报价得分</w:t>
            </w:r>
            <w:r>
              <w:rPr>
                <w:rFonts w:ascii="Times New Roman" w:hAnsi="Times New Roman" w:eastAsia="宋体"/>
                <w:color w:val="000000"/>
                <w:szCs w:val="21"/>
                <w:lang w:bidi="ar"/>
              </w:rPr>
              <w:t xml:space="preserve">=</w:t>
            </w:r>
            <w:r>
              <w:rPr>
                <w:rFonts w:hint="eastAsia" w:ascii="Times New Roman" w:hAnsi="Times New Roman" w:eastAsia="宋体"/>
                <w:color w:val="000000"/>
                <w:szCs w:val="21"/>
                <w:lang w:bidi="ar"/>
              </w:rPr>
              <w:t xml:space="preserve">（评标基准价</w:t>
            </w:r>
            <w:r>
              <w:rPr>
                <w:rFonts w:ascii="Times New Roman" w:hAnsi="Times New Roman" w:eastAsia="宋体"/>
                <w:color w:val="000000"/>
                <w:szCs w:val="21"/>
                <w:lang w:bidi="ar"/>
              </w:rPr>
              <w:t xml:space="preserve">/</w:t>
            </w:r>
            <w:r>
              <w:rPr>
                <w:rFonts w:hint="eastAsia" w:ascii="Times New Roman" w:hAnsi="Times New Roman" w:eastAsia="宋体"/>
                <w:color w:val="000000"/>
                <w:szCs w:val="21"/>
                <w:lang w:bidi="ar"/>
              </w:rPr>
              <w:t xml:space="preserve">投标报价）</w:t>
            </w:r>
            <w:r>
              <w:rPr>
                <w:rFonts w:ascii="Times New Roman" w:hAnsi="Times New Roman" w:eastAsia="宋体"/>
                <w:color w:val="000000"/>
                <w:szCs w:val="21"/>
                <w:lang w:bidi="ar"/>
              </w:rPr>
              <w:t xml:space="preserve">×10</w:t>
            </w:r>
            <w:r>
              <w:rPr>
                <w:rFonts w:hint="eastAsia" w:ascii="Times New Roman" w:hAnsi="Times New Roman" w:eastAsia="宋体"/>
                <w:color w:val="000000"/>
                <w:szCs w:val="21"/>
                <w:lang w:bidi="ar"/>
              </w:rPr>
              <w:t xml:space="preserve">，小数点后保留</w:t>
            </w:r>
            <w:r>
              <w:rPr>
                <w:rFonts w:ascii="Times New Roman" w:hAnsi="Times New Roman" w:eastAsia="宋体"/>
                <w:color w:val="000000"/>
                <w:szCs w:val="21"/>
                <w:lang w:bidi="ar"/>
              </w:rPr>
              <w:t xml:space="preserve">2</w:t>
            </w:r>
            <w:r>
              <w:rPr>
                <w:rFonts w:hint="eastAsia" w:ascii="Times New Roman" w:hAnsi="Times New Roman" w:eastAsia="宋体"/>
                <w:color w:val="000000"/>
                <w:szCs w:val="21"/>
                <w:lang w:bidi="ar"/>
              </w:rPr>
              <w:t xml:space="preserve">位。</w:t>
            </w:r>
            <w:r/>
          </w:p>
        </w:tc>
        <w:tc>
          <w:tcPr>
            <w:tcBorders>
              <w:top w:val="single" w:color="auto" w:sz="4" w:space="0"/>
              <w:left w:val="single" w:color="auto" w:sz="4" w:space="0"/>
              <w:bottom w:val="single" w:color="auto" w:sz="4" w:space="0"/>
              <w:right w:val="single" w:color="auto" w:sz="4" w:space="0"/>
            </w:tcBorders>
            <w:tcW w:w="337" w:type="pct"/>
            <w:vAlign w:val="center"/>
            <w:textDirection w:val="lrTb"/>
            <w:noWrap w:val="false"/>
          </w:tcPr>
          <w:p>
            <w:pPr>
              <w:jc w:val="center"/>
              <w:widowControl/>
              <w:rPr>
                <w:rFonts w:ascii="Times New Roman" w:hAnsi="Times New Roman" w:eastAsia="宋体"/>
                <w:color w:val="000000"/>
                <w:szCs w:val="21"/>
              </w:rPr>
            </w:pPr>
            <w:r>
              <w:rPr>
                <w:rFonts w:ascii="Times New Roman" w:hAnsi="Times New Roman" w:eastAsia="宋体"/>
                <w:color w:val="000000"/>
                <w:szCs w:val="21"/>
                <w:lang w:bidi="ar"/>
              </w:rPr>
              <w:t xml:space="preserve">10</w:t>
            </w:r>
            <w:r/>
          </w:p>
        </w:tc>
      </w:tr>
      <w:tr>
        <w:trPr/>
        <w:tc>
          <w:tcPr>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Times New Roman" w:hAnsi="Times New Roman" w:eastAsia="宋体"/>
                <w:color w:val="000000"/>
                <w:szCs w:val="21"/>
              </w:rPr>
            </w:pPr>
            <w:r>
              <w:rPr>
                <w:rFonts w:ascii="Times New Roman" w:hAnsi="Times New Roman" w:eastAsia="宋体"/>
                <w:color w:val="000000"/>
                <w:szCs w:val="21"/>
                <w:lang w:bidi="ar"/>
              </w:rPr>
              <w:t xml:space="preserve">2</w:t>
            </w: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jc w:val="center"/>
              <w:widowControl/>
              <w:rPr>
                <w:rFonts w:ascii="Times New Roman" w:hAnsi="Times New Roman" w:eastAsia="宋体"/>
                <w:color w:val="000000"/>
                <w:szCs w:val="21"/>
              </w:rPr>
            </w:pPr>
            <w:r>
              <w:rPr>
                <w:rFonts w:hint="eastAsia" w:ascii="Times New Roman" w:hAnsi="Times New Roman" w:eastAsia="宋体"/>
                <w:color w:val="000000"/>
                <w:szCs w:val="21"/>
                <w:lang w:bidi="ar"/>
              </w:rPr>
              <w:t xml:space="preserve">企业实力</w:t>
            </w:r>
            <w:r/>
          </w:p>
          <w:p>
            <w:pPr>
              <w:jc w:val="center"/>
              <w:widowControl/>
              <w:rPr>
                <w:rFonts w:ascii="Times New Roman" w:hAnsi="Times New Roman" w:eastAsia="宋体"/>
                <w:color w:val="000000"/>
                <w:szCs w:val="21"/>
              </w:rPr>
            </w:pPr>
            <w:r>
              <w:rPr>
                <w:rFonts w:hint="eastAsia" w:ascii="Times New Roman" w:hAnsi="Times New Roman" w:eastAsia="宋体"/>
                <w:color w:val="000000"/>
                <w:szCs w:val="21"/>
                <w:lang w:bidi="ar"/>
              </w:rPr>
              <w:t xml:space="preserve">（9分）</w:t>
            </w:r>
            <w:r/>
          </w:p>
        </w:tc>
        <w:tc>
          <w:tcPr>
            <w:tcBorders>
              <w:top w:val="single" w:color="auto" w:sz="4" w:space="0"/>
              <w:left w:val="single" w:color="auto" w:sz="4" w:space="0"/>
              <w:bottom w:val="single" w:color="auto" w:sz="4" w:space="0"/>
              <w:right w:val="single" w:color="auto" w:sz="4" w:space="0"/>
            </w:tcBorders>
            <w:tcW w:w="3598" w:type="pct"/>
            <w:vAlign w:val="center"/>
            <w:textDirection w:val="lrTb"/>
            <w:noWrap w:val="false"/>
          </w:tcPr>
          <w:p>
            <w:pPr>
              <w:numPr>
                <w:ilvl w:val="0"/>
                <w:numId w:val="6"/>
              </w:numPr>
              <w:widowControl/>
              <w:rPr>
                <w:rFonts w:hint="eastAsia" w:ascii="Times New Roman" w:hAnsi="Times New Roman" w:eastAsia="宋体"/>
                <w:color w:val="000000"/>
                <w:szCs w:val="21"/>
                <w:lang w:bidi="ar"/>
              </w:rPr>
            </w:pPr>
            <w:r>
              <w:rPr>
                <w:rFonts w:hint="eastAsia" w:ascii="Times New Roman" w:hAnsi="Times New Roman" w:eastAsia="宋体" w:cs="Times New Roman"/>
                <w:color w:val="000000"/>
                <w:szCs w:val="21"/>
              </w:rPr>
              <w:t xml:space="preserve">投标人</w:t>
            </w:r>
            <w:r>
              <w:rPr>
                <w:rFonts w:hint="eastAsia" w:ascii="Times New Roman" w:hAnsi="Times New Roman" w:eastAsia="宋体" w:cs="Times New Roman"/>
                <w:color w:val="000000" w:themeColor="text1"/>
                <w:szCs w:val="21"/>
                <w14:textFill>
                  <w14:solidFill>
                    <w14:schemeClr w14:val="tx1"/>
                  </w14:solidFill>
                </w14:textFill>
              </w:rPr>
              <w:t xml:space="preserve">具有</w:t>
            </w:r>
            <w:r>
              <w:rPr>
                <w:rFonts w:hint="eastAsia" w:ascii="Times New Roman" w:hAnsi="Times New Roman" w:eastAsia="宋体" w:cs="Times New Roman"/>
                <w:color w:val="000000" w:themeColor="text1"/>
                <w:szCs w:val="21"/>
                <w:lang w:val="en-US" w:eastAsia="zh-CN"/>
                <w14:textFill>
                  <w14:solidFill>
                    <w14:schemeClr w14:val="tx1"/>
                  </w14:solidFill>
                </w14:textFill>
              </w:rPr>
              <w:t xml:space="preserve">有效期内</w:t>
            </w:r>
            <w:r>
              <w:rPr>
                <w:rFonts w:hint="eastAsia" w:ascii="Times New Roman" w:hAnsi="Times New Roman" w:eastAsia="宋体" w:cs="Times New Roman"/>
                <w:color w:val="000000" w:themeColor="text1"/>
                <w:szCs w:val="21"/>
                <w14:textFill>
                  <w14:solidFill>
                    <w14:schemeClr w14:val="tx1"/>
                  </w14:solidFill>
                </w14:textFill>
              </w:rPr>
              <w:t xml:space="preserve">的</w:t>
            </w:r>
            <w:bookmarkStart w:id="143" w:name="_Hlk214542996"/>
            <w:r>
              <w:rPr>
                <w:rFonts w:hint="eastAsia" w:ascii="Times New Roman" w:hAnsi="Times New Roman" w:eastAsia="宋体"/>
                <w:color w:val="000000"/>
                <w:szCs w:val="21"/>
                <w:lang w:bidi="ar"/>
              </w:rPr>
              <w:t xml:space="preserve">信息技术服务管理体系认证证书、隐私信息管理体系认证证书、信息安全管理体系</w:t>
            </w:r>
            <w:r>
              <w:rPr>
                <w:rFonts w:hint="eastAsia" w:ascii="Times New Roman" w:hAnsi="Times New Roman" w:eastAsia="宋体"/>
                <w:color w:val="000000"/>
                <w:szCs w:val="21"/>
                <w:lang w:val="en-US" w:eastAsia="zh-CN" w:bidi="ar"/>
              </w:rPr>
              <w:t xml:space="preserve">认证</w:t>
            </w:r>
            <w:r>
              <w:rPr>
                <w:rFonts w:hint="eastAsia" w:ascii="Times New Roman" w:hAnsi="Times New Roman" w:eastAsia="宋体"/>
                <w:color w:val="000000"/>
                <w:szCs w:val="21"/>
                <w:lang w:bidi="ar"/>
              </w:rPr>
              <w:t xml:space="preserve">证书</w:t>
            </w:r>
            <w:bookmarkEnd w:id="143"/>
            <w:r>
              <w:rPr>
                <w:rFonts w:hint="eastAsia" w:ascii="Times New Roman" w:hAnsi="Times New Roman" w:eastAsia="宋体"/>
                <w:color w:val="000000"/>
                <w:szCs w:val="21"/>
                <w:lang w:bidi="ar"/>
              </w:rPr>
              <w:t xml:space="preserve">，每提供1项证书得2分，最高得6分。</w:t>
            </w:r>
            <w:r/>
          </w:p>
          <w:p>
            <w:pPr>
              <w:numPr>
                <w:ilvl w:val="0"/>
                <w:numId w:val="0"/>
              </w:numPr>
              <w:widowControl/>
              <w:rPr>
                <w:rFonts w:hint="eastAsia"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lang w:bidi="ar"/>
                <w14:textFill>
                  <w14:solidFill>
                    <w14:schemeClr w14:val="tx1"/>
                  </w14:solidFill>
                </w14:textFill>
              </w:rPr>
              <w:t xml:space="preserve">注：</w:t>
            </w:r>
            <w:r>
              <w:rPr>
                <w:rFonts w:hint="eastAsia" w:ascii="Times New Roman" w:hAnsi="Times New Roman" w:eastAsia="宋体" w:cs="Times New Roman"/>
                <w:color w:val="000000" w:themeColor="text1"/>
                <w:szCs w:val="21"/>
                <w14:textFill>
                  <w14:solidFill>
                    <w14:schemeClr w14:val="tx1"/>
                  </w14:solidFill>
                </w14:textFill>
              </w:rPr>
              <w:t xml:space="preserve">投标时提供上述证书的彩色扫描件，投标人应当确保证书开标当天处于有效期内，否则不予认可。以上材料均须加盖投标人公章，否则不予认可，不提供不得分。</w:t>
            </w:r>
            <w:r/>
          </w:p>
          <w:p>
            <w:pPr>
              <w:widowControl/>
              <w:rPr>
                <w:rFonts w:ascii="Times New Roman" w:hAnsi="Times New Roman" w:eastAsia="宋体"/>
                <w:color w:val="000000"/>
                <w:szCs w:val="21"/>
              </w:rPr>
            </w:pPr>
            <w:r>
              <w:rPr>
                <w:rFonts w:hint="eastAsia" w:ascii="Times New Roman" w:hAnsi="Times New Roman" w:eastAsia="宋体"/>
                <w:color w:val="000000"/>
                <w:szCs w:val="21"/>
                <w:lang w:bidi="ar"/>
              </w:rPr>
              <w:t xml:space="preserve">2</w:t>
            </w:r>
            <w:r>
              <w:rPr>
                <w:rFonts w:ascii="Times New Roman" w:hAnsi="Times New Roman" w:eastAsia="宋体"/>
                <w:color w:val="000000"/>
                <w:szCs w:val="21"/>
                <w:lang w:bidi="ar"/>
              </w:rPr>
              <w:t xml:space="preserve">.</w:t>
            </w:r>
            <w:r>
              <w:rPr>
                <w:rFonts w:hint="eastAsia" w:ascii="Times New Roman" w:hAnsi="Times New Roman" w:eastAsia="宋体"/>
                <w:color w:val="000000"/>
                <w:szCs w:val="21"/>
                <w:lang w:bidi="ar"/>
              </w:rPr>
              <w:t xml:space="preserve">投标人具有</w:t>
            </w:r>
            <w:r>
              <w:rPr>
                <w:rFonts w:ascii="Times New Roman" w:hAnsi="Times New Roman" w:eastAsia="宋体"/>
                <w:color w:val="000000"/>
                <w:szCs w:val="21"/>
                <w:lang w:bidi="ar"/>
              </w:rPr>
              <w:t xml:space="preserve">DSMM</w:t>
            </w:r>
            <w:r>
              <w:rPr>
                <w:rFonts w:hint="eastAsia" w:ascii="Times New Roman" w:hAnsi="Times New Roman" w:eastAsia="宋体"/>
                <w:color w:val="000000"/>
                <w:szCs w:val="21"/>
                <w:lang w:bidi="ar"/>
              </w:rPr>
              <w:t xml:space="preserve">数据安全能力成熟度认证证书得3分，不具备不得分。</w:t>
            </w:r>
            <w:r/>
          </w:p>
          <w:p>
            <w:pPr>
              <w:widowControl/>
              <w:rPr>
                <w:rFonts w:ascii="Times New Roman" w:hAnsi="Times New Roman" w:eastAsia="宋体"/>
                <w:color w:val="000000"/>
                <w:szCs w:val="21"/>
              </w:rPr>
            </w:pPr>
            <w:r>
              <w:rPr>
                <w:rFonts w:hint="eastAsia" w:ascii="Times New Roman" w:hAnsi="Times New Roman" w:eastAsia="宋体"/>
                <w:color w:val="000000"/>
                <w:szCs w:val="21"/>
                <w:lang w:bidi="ar"/>
              </w:rPr>
              <w:t xml:space="preserve">注：提供有效证书复印件并加盖投标人公章。</w:t>
            </w:r>
            <w:r/>
          </w:p>
        </w:tc>
        <w:tc>
          <w:tcPr>
            <w:tcBorders>
              <w:top w:val="single" w:color="auto" w:sz="4" w:space="0"/>
              <w:left w:val="single" w:color="auto" w:sz="4" w:space="0"/>
              <w:bottom w:val="single" w:color="auto" w:sz="4" w:space="0"/>
              <w:right w:val="single" w:color="auto" w:sz="4" w:space="0"/>
            </w:tcBorders>
            <w:tcW w:w="337" w:type="pct"/>
            <w:vAlign w:val="center"/>
            <w:textDirection w:val="lrTb"/>
            <w:noWrap w:val="false"/>
          </w:tcPr>
          <w:p>
            <w:pPr>
              <w:jc w:val="center"/>
              <w:widowControl/>
              <w:rPr>
                <w:rFonts w:ascii="Times New Roman" w:hAnsi="Times New Roman" w:eastAsia="宋体"/>
                <w:color w:val="000000"/>
                <w:szCs w:val="21"/>
              </w:rPr>
            </w:pPr>
            <w:r>
              <w:rPr>
                <w:rFonts w:hint="eastAsia" w:ascii="Times New Roman" w:hAnsi="Times New Roman" w:eastAsia="宋体"/>
                <w:color w:val="000000"/>
                <w:szCs w:val="21"/>
                <w:lang w:bidi="ar"/>
              </w:rPr>
              <w:t xml:space="preserve">9</w:t>
            </w:r>
            <w:r/>
          </w:p>
        </w:tc>
      </w:tr>
      <w:tr>
        <w:trPr/>
        <w:tc>
          <w:tcPr>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Times New Roman" w:hAnsi="Times New Roman" w:eastAsia="宋体"/>
                <w:color w:val="000000"/>
                <w:szCs w:val="21"/>
              </w:rPr>
            </w:pPr>
            <w:r>
              <w:rPr>
                <w:rFonts w:ascii="Times New Roman" w:hAnsi="Times New Roman" w:eastAsia="宋体"/>
                <w:color w:val="000000"/>
                <w:szCs w:val="21"/>
                <w:lang w:bidi="ar"/>
              </w:rPr>
              <w:t xml:space="preserve">3</w:t>
            </w: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jc w:val="center"/>
              <w:widowControl/>
              <w:rPr>
                <w:rFonts w:ascii="Times New Roman" w:hAnsi="Times New Roman" w:eastAsia="宋体"/>
                <w:color w:val="000000"/>
                <w:szCs w:val="21"/>
              </w:rPr>
            </w:pPr>
            <w:r>
              <w:rPr>
                <w:rFonts w:hint="eastAsia" w:ascii="Times New Roman" w:hAnsi="Times New Roman" w:eastAsia="宋体"/>
                <w:color w:val="000000"/>
                <w:szCs w:val="21"/>
                <w:lang w:bidi="ar"/>
              </w:rPr>
              <w:t xml:space="preserve">业绩案例</w:t>
            </w:r>
            <w:r/>
          </w:p>
          <w:p>
            <w:pPr>
              <w:jc w:val="center"/>
              <w:widowControl/>
              <w:rPr>
                <w:rFonts w:ascii="Times New Roman" w:hAnsi="Times New Roman" w:eastAsia="宋体"/>
                <w:color w:val="000000"/>
                <w:szCs w:val="21"/>
              </w:rPr>
            </w:pPr>
            <w:r>
              <w:rPr>
                <w:rFonts w:hint="eastAsia" w:ascii="Times New Roman" w:hAnsi="Times New Roman" w:eastAsia="宋体"/>
                <w:color w:val="000000"/>
                <w:szCs w:val="21"/>
                <w:lang w:bidi="ar"/>
              </w:rPr>
              <w:t xml:space="preserve">（</w:t>
            </w:r>
            <w:r>
              <w:rPr>
                <w:rFonts w:ascii="Times New Roman" w:hAnsi="Times New Roman" w:eastAsia="宋体"/>
                <w:color w:val="000000"/>
                <w:szCs w:val="21"/>
                <w:lang w:bidi="ar"/>
              </w:rPr>
              <w:t xml:space="preserve">12</w:t>
            </w:r>
            <w:r>
              <w:rPr>
                <w:rFonts w:hint="eastAsia" w:ascii="Times New Roman" w:hAnsi="Times New Roman" w:eastAsia="宋体"/>
                <w:color w:val="000000"/>
                <w:szCs w:val="21"/>
                <w:lang w:bidi="ar"/>
              </w:rPr>
              <w:t xml:space="preserve">分）</w:t>
            </w:r>
            <w:r/>
          </w:p>
        </w:tc>
        <w:tc>
          <w:tcPr>
            <w:tcBorders>
              <w:top w:val="single" w:color="auto" w:sz="4" w:space="0"/>
              <w:left w:val="single" w:color="auto" w:sz="4" w:space="0"/>
              <w:bottom w:val="single" w:color="auto" w:sz="4" w:space="0"/>
              <w:right w:val="single" w:color="auto" w:sz="4" w:space="0"/>
            </w:tcBorders>
            <w:tcW w:w="3598" w:type="pct"/>
            <w:vAlign w:val="center"/>
            <w:textDirection w:val="lrTb"/>
            <w:noWrap w:val="false"/>
          </w:tcPr>
          <w:p>
            <w:pPr>
              <w:rPr>
                <w:rFonts w:hint="eastAsia" w:ascii="Times New Roman" w:hAnsi="Times New Roman" w:eastAsia="宋体"/>
                <w:color w:val="000000"/>
                <w:szCs w:val="21"/>
                <w:lang w:bidi="ar"/>
              </w:rPr>
            </w:pPr>
            <w:r>
              <w:rPr>
                <w:rFonts w:hint="eastAsia" w:ascii="Times New Roman" w:hAnsi="Times New Roman" w:eastAsia="宋体"/>
                <w:color w:val="000000"/>
                <w:szCs w:val="21"/>
                <w:lang w:bidi="ar"/>
              </w:rPr>
              <w:t xml:space="preserve">投标人自2022年1月1日（以合同签订时间为准），承担过类似项目业绩（类似项目业绩是指数据安全类项目）</w:t>
            </w:r>
            <w:r>
              <w:rPr>
                <w:rFonts w:hint="eastAsia" w:ascii="Times New Roman" w:hAnsi="Times New Roman" w:eastAsia="宋体"/>
                <w:color w:val="000000"/>
                <w:szCs w:val="21"/>
                <w:lang w:eastAsia="zh-CN" w:bidi="ar"/>
              </w:rPr>
              <w:t xml:space="preserve">，</w:t>
            </w:r>
            <w:r>
              <w:rPr>
                <w:rFonts w:hint="eastAsia" w:ascii="Times New Roman" w:hAnsi="Times New Roman" w:eastAsia="宋体"/>
                <w:color w:val="000000"/>
                <w:szCs w:val="21"/>
                <w:lang w:bidi="ar"/>
              </w:rPr>
              <w:t xml:space="preserve">每提供</w:t>
            </w:r>
            <w:r>
              <w:rPr>
                <w:rFonts w:ascii="Times New Roman" w:hAnsi="Times New Roman" w:eastAsia="宋体"/>
                <w:color w:val="000000"/>
                <w:szCs w:val="21"/>
                <w:lang w:bidi="ar"/>
              </w:rPr>
              <w:t xml:space="preserve">1</w:t>
            </w:r>
            <w:r>
              <w:rPr>
                <w:rFonts w:hint="eastAsia" w:ascii="Times New Roman" w:hAnsi="Times New Roman" w:eastAsia="宋体"/>
                <w:color w:val="000000"/>
                <w:szCs w:val="21"/>
                <w:lang w:bidi="ar"/>
              </w:rPr>
              <w:t xml:space="preserve">个有效业绩得3分，最多得</w:t>
            </w:r>
            <w:r>
              <w:rPr>
                <w:rFonts w:ascii="Times New Roman" w:hAnsi="Times New Roman" w:eastAsia="宋体"/>
                <w:color w:val="000000"/>
                <w:szCs w:val="21"/>
                <w:lang w:bidi="ar"/>
              </w:rPr>
              <w:t xml:space="preserve">12</w:t>
            </w:r>
            <w:r>
              <w:rPr>
                <w:rFonts w:hint="eastAsia" w:ascii="Times New Roman" w:hAnsi="Times New Roman" w:eastAsia="宋体"/>
                <w:color w:val="000000"/>
                <w:szCs w:val="21"/>
                <w:lang w:bidi="ar"/>
              </w:rPr>
              <w:t xml:space="preserve">分。</w:t>
            </w:r>
            <w:r/>
          </w:p>
          <w:p>
            <w:pPr>
              <w:rPr>
                <w:rFonts w:ascii="Times New Roman" w:hAnsi="Times New Roman" w:eastAsia="宋体"/>
                <w:color w:val="000000"/>
                <w:szCs w:val="21"/>
              </w:rPr>
            </w:pPr>
            <w:r>
              <w:rPr>
                <w:rFonts w:hint="eastAsia" w:ascii="Times New Roman" w:hAnsi="Times New Roman" w:eastAsia="宋体"/>
                <w:color w:val="000000"/>
                <w:szCs w:val="21"/>
              </w:rPr>
              <w:t xml:space="preserve">注：需提供合同关键页扫描件（合同关键页包括但不限于合同首页、合同签订日期页、双方盖章页等关键页）作为得分依据；未提供或评标委员会无法凭所提供资料判断是否得分的情况，一律作不得分处理。</w:t>
            </w:r>
            <w:r/>
          </w:p>
        </w:tc>
        <w:tc>
          <w:tcPr>
            <w:tcBorders>
              <w:top w:val="single" w:color="auto" w:sz="4" w:space="0"/>
              <w:left w:val="single" w:color="auto" w:sz="4" w:space="0"/>
              <w:bottom w:val="single" w:color="auto" w:sz="4" w:space="0"/>
              <w:right w:val="single" w:color="auto" w:sz="4" w:space="0"/>
            </w:tcBorders>
            <w:tcW w:w="337" w:type="pct"/>
            <w:vAlign w:val="center"/>
            <w:textDirection w:val="lrTb"/>
            <w:noWrap w:val="false"/>
          </w:tcPr>
          <w:p>
            <w:pPr>
              <w:jc w:val="center"/>
              <w:widowControl/>
              <w:rPr>
                <w:rFonts w:ascii="Times New Roman" w:hAnsi="Times New Roman" w:eastAsia="宋体"/>
                <w:color w:val="000000"/>
                <w:szCs w:val="21"/>
              </w:rPr>
            </w:pPr>
            <w:r>
              <w:rPr>
                <w:rFonts w:ascii="Times New Roman" w:hAnsi="Times New Roman" w:eastAsia="宋体"/>
                <w:color w:val="000000"/>
                <w:szCs w:val="21"/>
                <w:lang w:bidi="ar"/>
              </w:rPr>
              <w:t xml:space="preserve">12</w:t>
            </w:r>
            <w:r/>
          </w:p>
        </w:tc>
      </w:tr>
      <w:tr>
        <w:trPr/>
        <w:tc>
          <w:tcPr>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Times New Roman" w:hAnsi="Times New Roman" w:eastAsia="宋体"/>
                <w:color w:val="000000"/>
                <w:szCs w:val="21"/>
              </w:rPr>
            </w:pPr>
            <w:r>
              <w:rPr>
                <w:rFonts w:ascii="Times New Roman" w:hAnsi="Times New Roman" w:eastAsia="宋体"/>
                <w:color w:val="000000"/>
                <w:szCs w:val="21"/>
                <w:lang w:bidi="ar"/>
              </w:rPr>
              <w:t xml:space="preserve">4</w:t>
            </w: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jc w:val="center"/>
              <w:rPr>
                <w:rFonts w:ascii="Times New Roman" w:hAnsi="Times New Roman" w:eastAsia="宋体"/>
                <w:color w:val="000000"/>
                <w:szCs w:val="21"/>
              </w:rPr>
            </w:pPr>
            <w:r>
              <w:rPr>
                <w:rFonts w:hint="eastAsia" w:ascii="Times New Roman" w:hAnsi="Times New Roman" w:eastAsia="宋体"/>
                <w:color w:val="000000"/>
                <w:szCs w:val="21"/>
              </w:rPr>
              <w:t xml:space="preserve">团队能力</w:t>
            </w:r>
            <w:r/>
          </w:p>
          <w:p>
            <w:pPr>
              <w:jc w:val="center"/>
              <w:widowControl/>
              <w:rPr>
                <w:rFonts w:ascii="Times New Roman" w:hAnsi="Times New Roman" w:eastAsia="宋体"/>
                <w:color w:val="000000"/>
                <w:szCs w:val="21"/>
              </w:rPr>
            </w:pPr>
            <w:r>
              <w:rPr>
                <w:rFonts w:hint="eastAsia" w:ascii="Times New Roman" w:hAnsi="Times New Roman" w:eastAsia="宋体"/>
                <w:color w:val="000000"/>
                <w:szCs w:val="21"/>
                <w:lang w:bidi="ar"/>
              </w:rPr>
              <w:t xml:space="preserve">（14分）</w:t>
            </w:r>
            <w:r/>
          </w:p>
        </w:tc>
        <w:tc>
          <w:tcPr>
            <w:tcBorders>
              <w:top w:val="single" w:color="auto" w:sz="4" w:space="0"/>
              <w:left w:val="single" w:color="auto" w:sz="4" w:space="0"/>
              <w:bottom w:val="single" w:color="auto" w:sz="4" w:space="0"/>
              <w:right w:val="single" w:color="auto" w:sz="4" w:space="0"/>
            </w:tcBorders>
            <w:tcW w:w="3598" w:type="pct"/>
            <w:vAlign w:val="center"/>
            <w:textDirection w:val="lrTb"/>
            <w:noWrap w:val="false"/>
          </w:tcPr>
          <w:p>
            <w:pPr>
              <w:rPr>
                <w:rFonts w:ascii="Times New Roman" w:hAnsi="Times New Roman" w:eastAsia="宋体"/>
                <w:color w:val="000000"/>
                <w:sz w:val="24"/>
                <w:szCs w:val="24"/>
              </w:rPr>
            </w:pPr>
            <w:r>
              <w:rPr>
                <w:rFonts w:ascii="Times New Roman" w:hAnsi="Times New Roman" w:eastAsia="宋体"/>
                <w:color w:val="000000"/>
                <w:szCs w:val="21"/>
              </w:rPr>
              <w:t xml:space="preserve">1</w:t>
            </w:r>
            <w:r>
              <w:rPr>
                <w:rFonts w:ascii="Times New Roman" w:hAnsi="Times New Roman" w:eastAsia="宋体"/>
                <w:color w:val="000000"/>
                <w:sz w:val="24"/>
                <w:szCs w:val="24"/>
              </w:rPr>
              <w:t xml:space="preserve">.</w:t>
            </w:r>
            <w:r>
              <w:rPr>
                <w:rFonts w:hint="eastAsia" w:ascii="Times New Roman" w:hAnsi="Times New Roman" w:eastAsia="宋体"/>
                <w:color w:val="000000"/>
                <w:sz w:val="24"/>
                <w:szCs w:val="24"/>
              </w:rPr>
              <w:t xml:space="preserve">项目经理：具有人力资源和社会保障部、工业和信息化部批准颁发的信息系统项目管理师、系统架构设计师证书，每具有一项得2分，最高得4分。</w:t>
            </w:r>
            <w:r/>
          </w:p>
          <w:p>
            <w:pPr>
              <w:rPr>
                <w:rFonts w:ascii="Times New Roman" w:hAnsi="Times New Roman" w:eastAsia="宋体"/>
                <w:color w:val="000000"/>
                <w:sz w:val="24"/>
                <w:szCs w:val="24"/>
              </w:rPr>
            </w:pPr>
            <w:r>
              <w:rPr>
                <w:rFonts w:ascii="Times New Roman" w:hAnsi="Times New Roman" w:eastAsia="宋体"/>
                <w:color w:val="000000"/>
                <w:sz w:val="24"/>
                <w:szCs w:val="24"/>
                <w:lang w:bidi="ar"/>
              </w:rPr>
              <w:t xml:space="preserve">2.</w:t>
            </w:r>
            <w:r>
              <w:rPr>
                <w:rFonts w:hint="eastAsia" w:ascii="Times New Roman" w:hAnsi="Times New Roman" w:eastAsia="宋体"/>
                <w:color w:val="000000"/>
                <w:sz w:val="24"/>
                <w:szCs w:val="24"/>
                <w:lang w:bidi="ar"/>
              </w:rPr>
              <w:t xml:space="preserve">项目技术负责人：具有人力资源和社会保障部、工业和信息化部批准颁发的系统架构设计师、系统分析师证书，每具有一项得2分，最高得4分。</w:t>
            </w:r>
            <w:r/>
          </w:p>
          <w:p>
            <w:pPr>
              <w:jc w:val="left"/>
              <w:widowControl/>
              <w:rPr>
                <w:rFonts w:ascii="Times New Roman" w:hAnsi="Times New Roman" w:cs="Times New Roman"/>
                <w:color w:val="000000" w:themeColor="text1"/>
                <w:sz w:val="24"/>
                <w:szCs w:val="24"/>
              </w:rPr>
            </w:pPr>
            <w:r>
              <w:rPr>
                <w:rFonts w:ascii="Times New Roman" w:hAnsi="Times New Roman" w:eastAsia="宋体"/>
                <w:color w:val="000000"/>
                <w:sz w:val="24"/>
                <w:szCs w:val="24"/>
                <w:lang w:bidi="ar"/>
              </w:rPr>
              <w:t xml:space="preserve">3.</w:t>
            </w:r>
            <w:r>
              <w:rPr>
                <w:rFonts w:hint="eastAsia" w:ascii="Times New Roman" w:hAnsi="Times New Roman" w:eastAsia="宋体"/>
                <w:color w:val="000000"/>
                <w:sz w:val="24"/>
                <w:szCs w:val="24"/>
                <w:lang w:bidi="ar"/>
              </w:rPr>
              <w:t xml:space="preserve">项目组成员：项目团队中技术人员（除项目经理、技术负责人外）具有人力资源和社会保障部、工业和信息化部批准颁发的系统架构设计师、系统规划与管理师、软件评测师、网络规划设计师、系统集成项目管理工程师</w:t>
            </w:r>
            <w:r>
              <w:rPr>
                <w:rFonts w:hint="eastAsia" w:ascii="Times New Roman" w:hAnsi="Times New Roman" w:eastAsia="宋体"/>
                <w:color w:val="000000"/>
                <w:sz w:val="24"/>
                <w:szCs w:val="24"/>
                <w:lang w:val="en-US" w:eastAsia="zh-CN" w:bidi="ar"/>
              </w:rPr>
              <w:t xml:space="preserve">证书</w:t>
            </w:r>
            <w:r>
              <w:rPr>
                <w:rFonts w:hint="eastAsia" w:ascii="Times New Roman" w:hAnsi="Times New Roman" w:eastAsia="宋体"/>
                <w:color w:val="000000"/>
                <w:sz w:val="24"/>
                <w:szCs w:val="24"/>
                <w:lang w:eastAsia="zh-CN" w:bidi="ar"/>
              </w:rPr>
              <w:t xml:space="preserve">；</w:t>
            </w:r>
            <w:r>
              <w:rPr>
                <w:rFonts w:hint="eastAsia" w:ascii="Times New Roman" w:hAnsi="Times New Roman" w:eastAsia="宋体"/>
                <w:color w:val="000000"/>
                <w:sz w:val="24"/>
                <w:szCs w:val="24"/>
                <w:lang w:bidi="ar"/>
              </w:rPr>
              <w:t xml:space="preserve">人力资源和社会保障部门颁发的电子信息工程专业高级工程师职称证书，每提供</w:t>
            </w:r>
            <w:r>
              <w:rPr>
                <w:rFonts w:ascii="Times New Roman" w:hAnsi="Times New Roman" w:eastAsia="宋体"/>
                <w:color w:val="000000"/>
                <w:sz w:val="24"/>
                <w:szCs w:val="24"/>
                <w:lang w:bidi="ar"/>
              </w:rPr>
              <w:t xml:space="preserve">1</w:t>
            </w:r>
            <w:r>
              <w:rPr>
                <w:rFonts w:hint="eastAsia" w:ascii="Times New Roman" w:hAnsi="Times New Roman" w:eastAsia="宋体"/>
                <w:color w:val="000000"/>
                <w:sz w:val="24"/>
                <w:szCs w:val="24"/>
                <w:lang w:bidi="ar"/>
              </w:rPr>
              <w:t xml:space="preserve">类证书得</w:t>
            </w:r>
            <w:r>
              <w:rPr>
                <w:rFonts w:ascii="Times New Roman" w:hAnsi="Times New Roman" w:eastAsia="宋体"/>
                <w:color w:val="000000"/>
                <w:sz w:val="24"/>
                <w:szCs w:val="24"/>
                <w:lang w:bidi="ar"/>
              </w:rPr>
              <w:t xml:space="preserve">1</w:t>
            </w:r>
            <w:r>
              <w:rPr>
                <w:rFonts w:hint="eastAsia" w:ascii="Times New Roman" w:hAnsi="Times New Roman" w:eastAsia="宋体"/>
                <w:color w:val="000000"/>
                <w:sz w:val="24"/>
                <w:szCs w:val="24"/>
                <w:lang w:bidi="ar"/>
              </w:rPr>
              <w:t xml:space="preserve">分，最高得6分。</w:t>
            </w:r>
            <w:r>
              <w:rPr>
                <w:rFonts w:hint="eastAsia" w:ascii="Times New Roman" w:hAnsi="Times New Roman" w:cs="Times New Roman"/>
                <w:color w:val="000000" w:themeColor="text1"/>
                <w:sz w:val="24"/>
                <w:szCs w:val="24"/>
              </w:rPr>
              <w:t xml:space="preserve">（以上人员及证书不重复计分）</w:t>
            </w:r>
            <w:r>
              <w:rPr>
                <w:color w:val="000000" w:themeColor="text1"/>
              </w:rPr>
            </w:r>
          </w:p>
          <w:p>
            <w:pPr>
              <w:rPr>
                <w:rFonts w:ascii="Times New Roman" w:hAnsi="Times New Roman" w:eastAsia="宋体"/>
                <w:color w:val="000000"/>
                <w:szCs w:val="21"/>
              </w:rPr>
            </w:pPr>
            <w:r>
              <w:rPr>
                <w:rFonts w:hint="eastAsia" w:ascii="Times New Roman" w:hAnsi="Times New Roman" w:eastAsia="宋体"/>
                <w:sz w:val="24"/>
                <w:szCs w:val="24"/>
              </w:rPr>
              <w:t xml:space="preserve">注：①上述证明材料以原件的扫描件并加盖投标人公章进行计分；②以上所有人员需提供</w:t>
            </w:r>
            <w:r>
              <w:rPr>
                <w:rFonts w:hint="eastAsia" w:ascii="Times New Roman" w:hAnsi="Times New Roman" w:eastAsia="宋体"/>
                <w:sz w:val="24"/>
                <w:szCs w:val="24"/>
                <w:lang w:eastAsia="zh-CN"/>
              </w:rPr>
              <w:t xml:space="preserve">投标人</w:t>
            </w:r>
            <w:r>
              <w:rPr>
                <w:rFonts w:hint="eastAsia" w:ascii="Times New Roman" w:hAnsi="Times New Roman" w:eastAsia="宋体"/>
                <w:sz w:val="24"/>
                <w:szCs w:val="24"/>
              </w:rPr>
              <w:t xml:space="preserve">投标前3个月内任意1个月缴纳社保的证明材料并加盖投标人公章。</w:t>
            </w:r>
            <w:r/>
          </w:p>
        </w:tc>
        <w:tc>
          <w:tcPr>
            <w:tcBorders>
              <w:top w:val="single" w:color="auto" w:sz="4" w:space="0"/>
              <w:left w:val="single" w:color="auto" w:sz="4" w:space="0"/>
              <w:bottom w:val="single" w:color="auto" w:sz="4" w:space="0"/>
              <w:right w:val="single" w:color="auto" w:sz="4" w:space="0"/>
            </w:tcBorders>
            <w:tcW w:w="337" w:type="pct"/>
            <w:vAlign w:val="center"/>
            <w:textDirection w:val="lrTb"/>
            <w:noWrap w:val="false"/>
          </w:tcPr>
          <w:p>
            <w:pPr>
              <w:jc w:val="center"/>
              <w:widowControl/>
              <w:rPr>
                <w:rFonts w:ascii="Times New Roman" w:hAnsi="Times New Roman" w:eastAsia="宋体"/>
                <w:color w:val="000000"/>
                <w:szCs w:val="21"/>
              </w:rPr>
            </w:pPr>
            <w:r>
              <w:rPr>
                <w:rFonts w:hint="eastAsia" w:ascii="Times New Roman" w:hAnsi="Times New Roman" w:eastAsia="宋体"/>
                <w:color w:val="000000"/>
                <w:szCs w:val="21"/>
                <w:lang w:bidi="ar"/>
              </w:rPr>
              <w:t xml:space="preserve">14</w:t>
            </w:r>
            <w:r/>
          </w:p>
        </w:tc>
      </w:tr>
      <w:tr>
        <w:trPr/>
        <w:tc>
          <w:tcPr>
            <w:tcBorders>
              <w:top w:val="single" w:color="auto" w:sz="4" w:space="0"/>
              <w:left w:val="single" w:color="auto" w:sz="4" w:space="0"/>
              <w:bottom w:val="single" w:color="auto" w:sz="4" w:space="0"/>
              <w:right w:val="single" w:color="auto" w:sz="4" w:space="0"/>
            </w:tcBorders>
            <w:tcW w:w="375" w:type="pct"/>
            <w:vAlign w:val="center"/>
            <w:vMerge w:val="restart"/>
            <w:textDirection w:val="lrTb"/>
            <w:noWrap w:val="false"/>
          </w:tcPr>
          <w:p>
            <w:pPr>
              <w:jc w:val="center"/>
              <w:rPr>
                <w:rFonts w:ascii="Times New Roman" w:hAnsi="Times New Roman" w:eastAsia="宋体"/>
                <w:color w:val="000000"/>
                <w:szCs w:val="21"/>
              </w:rPr>
            </w:pPr>
            <w:r>
              <w:rPr>
                <w:rFonts w:ascii="Times New Roman" w:hAnsi="Times New Roman" w:eastAsia="宋体"/>
                <w:color w:val="000000"/>
                <w:szCs w:val="21"/>
                <w:lang w:bidi="ar"/>
              </w:rPr>
              <w:t xml:space="preserve">5</w:t>
            </w:r>
            <w:r/>
          </w:p>
        </w:tc>
        <w:tc>
          <w:tcPr>
            <w:tcBorders>
              <w:top w:val="single" w:color="auto" w:sz="4" w:space="0"/>
              <w:left w:val="single" w:color="auto" w:sz="4" w:space="0"/>
              <w:bottom w:val="single" w:color="auto" w:sz="4" w:space="0"/>
              <w:right w:val="single" w:color="auto" w:sz="4" w:space="0"/>
            </w:tcBorders>
            <w:tcW w:w="690" w:type="pct"/>
            <w:vAlign w:val="center"/>
            <w:vMerge w:val="restart"/>
            <w:textDirection w:val="lrTb"/>
            <w:noWrap w:val="false"/>
          </w:tcPr>
          <w:p>
            <w:pPr>
              <w:jc w:val="center"/>
              <w:rPr>
                <w:rFonts w:ascii="Times New Roman" w:hAnsi="Times New Roman" w:eastAsia="宋体"/>
                <w:color w:val="000000"/>
                <w:szCs w:val="21"/>
              </w:rPr>
            </w:pPr>
            <w:r>
              <w:rPr>
                <w:rFonts w:hint="eastAsia" w:ascii="Times New Roman" w:hAnsi="Times New Roman" w:eastAsia="宋体"/>
                <w:color w:val="000000"/>
                <w:szCs w:val="21"/>
                <w:lang w:bidi="ar"/>
              </w:rPr>
              <w:t xml:space="preserve">技术方案</w:t>
            </w:r>
            <w:r/>
          </w:p>
          <w:p>
            <w:pPr>
              <w:jc w:val="center"/>
              <w:rPr>
                <w:rFonts w:ascii="Times New Roman" w:hAnsi="Times New Roman" w:eastAsia="宋体"/>
                <w:color w:val="000000"/>
                <w:szCs w:val="21"/>
              </w:rPr>
            </w:pPr>
            <w:r>
              <w:rPr>
                <w:rFonts w:hint="eastAsia" w:ascii="Times New Roman" w:hAnsi="Times New Roman" w:eastAsia="宋体"/>
                <w:color w:val="000000"/>
                <w:szCs w:val="21"/>
                <w:lang w:bidi="ar"/>
              </w:rPr>
              <w:t xml:space="preserve">（21分）</w:t>
            </w:r>
            <w:r/>
          </w:p>
        </w:tc>
        <w:tc>
          <w:tcPr>
            <w:tcBorders>
              <w:top w:val="single" w:color="auto" w:sz="4" w:space="0"/>
              <w:left w:val="single" w:color="auto" w:sz="4" w:space="0"/>
              <w:bottom w:val="single" w:color="auto" w:sz="4" w:space="0"/>
              <w:right w:val="single" w:color="auto" w:sz="4" w:space="0"/>
            </w:tcBorders>
            <w:tcW w:w="3598" w:type="pct"/>
            <w:vAlign w:val="center"/>
            <w:textDirection w:val="lrTb"/>
            <w:noWrap w:val="false"/>
          </w:tcPr>
          <w:p>
            <w:pP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lang w:bidi="ar"/>
                <w14:textFill>
                  <w14:solidFill>
                    <w14:schemeClr w14:val="tx1"/>
                  </w14:solidFill>
                </w14:textFill>
              </w:rPr>
              <w:t xml:space="preserve">1.</w:t>
            </w:r>
            <w:r>
              <w:rPr>
                <w:rFonts w:hint="eastAsia" w:ascii="Times New Roman" w:hAnsi="Times New Roman" w:eastAsia="宋体"/>
                <w:color w:val="000000" w:themeColor="text1"/>
                <w:szCs w:val="21"/>
                <w:lang w:bidi="ar"/>
                <w14:textFill>
                  <w14:solidFill>
                    <w14:schemeClr w14:val="tx1"/>
                  </w14:solidFill>
                </w14:textFill>
              </w:rPr>
              <w:t xml:space="preserve">投标人根据第四章采购需求中“现状及需求分析方案”，提供详细的现状及需求分析方案，</w:t>
            </w:r>
            <w:r>
              <w:rPr>
                <w:rFonts w:hint="eastAsia" w:ascii="Times New Roman" w:hAnsi="Times New Roman" w:eastAsia="宋体" w:cs="Times New Roman"/>
                <w:color w:val="000000" w:themeColor="text1"/>
                <w:szCs w:val="21"/>
                <w14:textFill>
                  <w14:solidFill>
                    <w14:schemeClr w14:val="tx1"/>
                  </w14:solidFill>
                </w14:textFill>
              </w:rPr>
              <w:t xml:space="preserve">方案至少包含：</w:t>
            </w:r>
            <w:r>
              <w:rPr>
                <w:rFonts w:hint="eastAsia" w:ascii="Times New Roman" w:hAnsi="Times New Roman" w:eastAsia="宋体"/>
                <w:color w:val="000000" w:themeColor="text1"/>
                <w:szCs w:val="21"/>
                <w:lang w:bidi="ar"/>
                <w14:textFill>
                  <w14:solidFill>
                    <w14:schemeClr w14:val="tx1"/>
                  </w14:solidFill>
                </w14:textFill>
              </w:rPr>
              <w:t xml:space="preserve">相关政策分析、现状及问题分析、需求分析等内容。</w:t>
            </w:r>
            <w:r>
              <w:rPr>
                <w:rFonts w:hint="eastAsia" w:ascii="Times New Roman" w:hAnsi="Times New Roman" w:eastAsia="宋体" w:cs="Times New Roman"/>
                <w:color w:val="000000" w:themeColor="text1"/>
                <w:szCs w:val="21"/>
                <w14:textFill>
                  <w14:solidFill>
                    <w14:schemeClr w14:val="tx1"/>
                  </w14:solidFill>
                </w14:textFill>
              </w:rPr>
              <w:t xml:space="preserve">方案应结构清晰，内容科学合理，具有前瞻性。</w:t>
            </w:r>
            <w:r>
              <w:rPr>
                <w:rFonts w:hint="eastAsia" w:ascii="Times New Roman" w:hAnsi="Times New Roman" w:eastAsia="宋体"/>
                <w:color w:val="000000" w:themeColor="text1"/>
                <w:szCs w:val="21"/>
                <w14:textFill>
                  <w14:solidFill>
                    <w14:schemeClr w14:val="tx1"/>
                  </w14:solidFill>
                </w14:textFill>
              </w:rPr>
              <w:t xml:space="preserve">方案优于要求的得</w:t>
            </w:r>
            <w:r>
              <w:rPr>
                <w:rFonts w:hint="eastAsia" w:ascii="Times New Roman" w:hAnsi="Times New Roman" w:eastAsia="宋体"/>
                <w:color w:val="000000" w:themeColor="text1"/>
                <w:szCs w:val="21"/>
                <w:lang w:val="en-US" w:eastAsia="zh-CN"/>
                <w14:textFill>
                  <w14:solidFill>
                    <w14:schemeClr w14:val="tx1"/>
                  </w14:solidFill>
                </w14:textFill>
              </w:rPr>
              <w:t xml:space="preserve">6</w:t>
            </w:r>
            <w:r>
              <w:rPr>
                <w:rFonts w:hint="eastAsia" w:ascii="Times New Roman" w:hAnsi="Times New Roman" w:eastAsia="宋体"/>
                <w:color w:val="000000" w:themeColor="text1"/>
                <w:szCs w:val="21"/>
                <w14:textFill>
                  <w14:solidFill>
                    <w14:schemeClr w14:val="tx1"/>
                  </w14:solidFill>
                </w14:textFill>
              </w:rPr>
              <w:t xml:space="preserve">分，符合要求得</w:t>
            </w:r>
            <w:r>
              <w:rPr>
                <w:rFonts w:hint="eastAsia" w:ascii="Times New Roman" w:hAnsi="Times New Roman" w:eastAsia="宋体"/>
                <w:color w:val="000000" w:themeColor="text1"/>
                <w:szCs w:val="21"/>
                <w:lang w:val="en-US" w:eastAsia="zh-CN"/>
                <w14:textFill>
                  <w14:solidFill>
                    <w14:schemeClr w14:val="tx1"/>
                  </w14:solidFill>
                </w14:textFill>
              </w:rPr>
              <w:t xml:space="preserve">5</w:t>
            </w:r>
            <w:r>
              <w:rPr>
                <w:rFonts w:hint="eastAsia" w:ascii="Times New Roman" w:hAnsi="Times New Roman" w:eastAsia="宋体"/>
                <w:color w:val="000000" w:themeColor="text1"/>
                <w:szCs w:val="21"/>
                <w14:textFill>
                  <w14:solidFill>
                    <w14:schemeClr w14:val="tx1"/>
                  </w14:solidFill>
                </w14:textFill>
              </w:rPr>
              <w:t xml:space="preserve">分，不符合要求或未提供的不得分。</w:t>
            </w:r>
            <w:r/>
          </w:p>
          <w:p>
            <w:pPr>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lang w:bidi="ar"/>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337" w:type="pct"/>
            <w:vAlign w:val="center"/>
            <w:textDirection w:val="lrTb"/>
            <w:noWrap w:val="false"/>
          </w:tcPr>
          <w:p>
            <w:pPr>
              <w:jc w:val="center"/>
              <w:widowControl/>
              <w:rPr>
                <w:rFonts w:hint="eastAsia"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lang w:val="en-US" w:eastAsia="zh-CN" w:bidi="ar"/>
                <w14:textFill>
                  <w14:solidFill>
                    <w14:schemeClr w14:val="tx1"/>
                  </w14:solidFill>
                </w14:textFill>
              </w:rPr>
              <w:t xml:space="preserve">6</w:t>
            </w:r>
            <w:r/>
          </w:p>
        </w:tc>
      </w:tr>
      <w:tr>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jc w:val="center"/>
              <w:rPr>
                <w:rFonts w:ascii="Times New Roman" w:hAnsi="Times New Roman" w:eastAsia="宋体"/>
                <w:color w:val="000000"/>
                <w:szCs w:val="21"/>
                <w:lang w:bidi="ar"/>
              </w:rPr>
            </w:pPr>
            <w:r>
              <w:rPr>
                <w:rFonts w:ascii="Times New Roman" w:hAnsi="Times New Roman" w:eastAsia="宋体"/>
                <w:color w:val="000000"/>
                <w:szCs w:val="21"/>
                <w:lang w:bidi="ar"/>
              </w:rPr>
            </w:r>
            <w:r/>
          </w:p>
        </w:tc>
        <w:tc>
          <w:tcPr>
            <w:tcBorders>
              <w:top w:val="single" w:color="auto" w:sz="4" w:space="0"/>
              <w:left w:val="single" w:color="auto" w:sz="4" w:space="0"/>
              <w:bottom w:val="single" w:color="auto" w:sz="4" w:space="0"/>
              <w:right w:val="single" w:color="auto" w:sz="4" w:space="0"/>
            </w:tcBorders>
            <w:tcW w:w="690" w:type="pct"/>
            <w:vAlign w:val="center"/>
            <w:vMerge w:val="continue"/>
            <w:textDirection w:val="lrTb"/>
            <w:noWrap w:val="false"/>
          </w:tcPr>
          <w:p>
            <w:pPr>
              <w:jc w:val="center"/>
              <w:rPr>
                <w:rFonts w:ascii="Times New Roman" w:hAnsi="Times New Roman" w:eastAsia="宋体"/>
                <w:color w:val="000000"/>
                <w:szCs w:val="21"/>
                <w:lang w:bidi="ar"/>
              </w:rPr>
            </w:pPr>
            <w:r>
              <w:rPr>
                <w:rFonts w:ascii="Times New Roman" w:hAnsi="Times New Roman" w:eastAsia="宋体"/>
                <w:color w:val="000000"/>
                <w:szCs w:val="21"/>
                <w:lang w:bidi="ar"/>
              </w:rPr>
            </w:r>
            <w:r/>
          </w:p>
        </w:tc>
        <w:tc>
          <w:tcPr>
            <w:tcBorders>
              <w:top w:val="single" w:color="auto" w:sz="4" w:space="0"/>
              <w:left w:val="single" w:color="auto" w:sz="4" w:space="0"/>
              <w:bottom w:val="single" w:color="auto" w:sz="4" w:space="0"/>
              <w:right w:val="single" w:color="auto" w:sz="4" w:space="0"/>
            </w:tcBorders>
            <w:tcW w:w="3598" w:type="pct"/>
            <w:vAlign w:val="center"/>
            <w:textDirection w:val="lrTb"/>
            <w:noWrap w:val="false"/>
          </w:tcPr>
          <w:p>
            <w:pPr>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lang w:bidi="ar"/>
                <w14:textFill>
                  <w14:solidFill>
                    <w14:schemeClr w14:val="tx1"/>
                  </w14:solidFill>
                </w14:textFill>
              </w:rPr>
              <w:t xml:space="preserve">2.投标人根据本项目第四章采购需求中“总体设计方案要求”，提供科学合理的总体设计方案，设计目标明确，结构层次划分清晰合理准确，方案至少包含：总体原则、总体框架、技术路线设计、网络架构设计、数据对接设计等内容。</w:t>
            </w:r>
            <w:r>
              <w:rPr>
                <w:rFonts w:hint="eastAsia" w:ascii="Times New Roman" w:hAnsi="Times New Roman" w:eastAsia="宋体" w:cs="Times New Roman"/>
                <w:color w:val="000000" w:themeColor="text1"/>
                <w:szCs w:val="21"/>
                <w14:textFill>
                  <w14:solidFill>
                    <w14:schemeClr w14:val="tx1"/>
                  </w14:solidFill>
                </w14:textFill>
              </w:rPr>
              <w:t xml:space="preserve">方案应结构清晰，内容科学合理，具有前瞻性。</w:t>
            </w:r>
            <w:r>
              <w:rPr>
                <w:rFonts w:hint="eastAsia" w:ascii="Times New Roman" w:hAnsi="Times New Roman" w:eastAsia="宋体"/>
                <w:color w:val="000000" w:themeColor="text1"/>
                <w:szCs w:val="21"/>
                <w:lang w:bidi="ar"/>
                <w14:textFill>
                  <w14:solidFill>
                    <w14:schemeClr w14:val="tx1"/>
                  </w14:solidFill>
                </w14:textFill>
              </w:rPr>
              <w:t xml:space="preserve">方案优于要求的得</w:t>
            </w:r>
            <w:r>
              <w:rPr>
                <w:rFonts w:hint="eastAsia" w:ascii="Times New Roman" w:hAnsi="Times New Roman" w:eastAsia="宋体"/>
                <w:color w:val="000000" w:themeColor="text1"/>
                <w:szCs w:val="21"/>
                <w:lang w:val="en-US" w:eastAsia="zh-CN" w:bidi="ar"/>
                <w14:textFill>
                  <w14:solidFill>
                    <w14:schemeClr w14:val="tx1"/>
                  </w14:solidFill>
                </w14:textFill>
              </w:rPr>
              <w:t xml:space="preserve">6</w:t>
            </w:r>
            <w:r>
              <w:rPr>
                <w:rFonts w:hint="eastAsia" w:ascii="Times New Roman" w:hAnsi="Times New Roman" w:eastAsia="宋体"/>
                <w:color w:val="000000" w:themeColor="text1"/>
                <w:szCs w:val="21"/>
                <w:lang w:bidi="ar"/>
                <w14:textFill>
                  <w14:solidFill>
                    <w14:schemeClr w14:val="tx1"/>
                  </w14:solidFill>
                </w14:textFill>
              </w:rPr>
              <w:t xml:space="preserve">分，符合要求得</w:t>
            </w:r>
            <w:r>
              <w:rPr>
                <w:rFonts w:hint="eastAsia" w:ascii="Times New Roman" w:hAnsi="Times New Roman" w:eastAsia="宋体"/>
                <w:color w:val="000000" w:themeColor="text1"/>
                <w:szCs w:val="21"/>
                <w:lang w:val="en-US" w:eastAsia="zh-CN" w:bidi="ar"/>
                <w14:textFill>
                  <w14:solidFill>
                    <w14:schemeClr w14:val="tx1"/>
                  </w14:solidFill>
                </w14:textFill>
              </w:rPr>
              <w:t xml:space="preserve">5</w:t>
            </w:r>
            <w:r>
              <w:rPr>
                <w:rFonts w:hint="eastAsia" w:ascii="Times New Roman" w:hAnsi="Times New Roman" w:eastAsia="宋体"/>
                <w:color w:val="000000" w:themeColor="text1"/>
                <w:szCs w:val="21"/>
                <w:lang w:bidi="ar"/>
                <w14:textFill>
                  <w14:solidFill>
                    <w14:schemeClr w14:val="tx1"/>
                  </w14:solidFill>
                </w14:textFill>
              </w:rPr>
              <w:t xml:space="preserve">分，不符合要求或未提供的不得分。</w:t>
            </w:r>
            <w:r/>
          </w:p>
          <w:p>
            <w:pPr>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lang w:bidi="ar"/>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337" w:type="pct"/>
            <w:vAlign w:val="center"/>
            <w:textDirection w:val="lrTb"/>
            <w:noWrap w:val="false"/>
          </w:tcPr>
          <w:p>
            <w:pPr>
              <w:jc w:val="center"/>
              <w:widowControl/>
              <w:rPr>
                <w:rFonts w:hint="eastAsia"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lang w:val="en-US" w:eastAsia="zh-CN" w:bidi="ar"/>
                <w14:textFill>
                  <w14:solidFill>
                    <w14:schemeClr w14:val="tx1"/>
                  </w14:solidFill>
                </w14:textFill>
              </w:rPr>
              <w:t xml:space="preserve">6</w:t>
            </w:r>
            <w:r/>
          </w:p>
        </w:tc>
      </w:tr>
      <w:tr>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rPr>
                <w:rFonts w:ascii="Calibri" w:hAnsi="Calibri" w:eastAsia="宋体" w:cs="Calibri"/>
                <w:sz w:val="20"/>
                <w:szCs w:val="20"/>
              </w:rPr>
            </w:pPr>
            <w:r>
              <w:rPr>
                <w:rFonts w:ascii="Calibri" w:hAnsi="Calibri" w:eastAsia="宋体" w:cs="Calibri"/>
                <w:sz w:val="20"/>
                <w:szCs w:val="20"/>
              </w:rPr>
            </w:r>
            <w:r/>
          </w:p>
        </w:tc>
        <w:tc>
          <w:tcPr>
            <w:tcBorders>
              <w:top w:val="single" w:color="auto" w:sz="4" w:space="0"/>
              <w:left w:val="single" w:color="auto" w:sz="4" w:space="0"/>
              <w:bottom w:val="single" w:color="auto" w:sz="4" w:space="0"/>
              <w:right w:val="single" w:color="auto" w:sz="4" w:space="0"/>
            </w:tcBorders>
            <w:tcW w:w="690" w:type="pct"/>
            <w:vAlign w:val="center"/>
            <w:vMerge w:val="continue"/>
            <w:textDirection w:val="lrTb"/>
            <w:noWrap w:val="false"/>
          </w:tcPr>
          <w:p>
            <w:pPr>
              <w:jc w:val="center"/>
              <w:rPr>
                <w:rFonts w:ascii="Calibri" w:hAnsi="Calibri" w:eastAsia="宋体" w:cs="Calibri"/>
                <w:sz w:val="20"/>
                <w:szCs w:val="20"/>
              </w:rPr>
            </w:pPr>
            <w:r>
              <w:rPr>
                <w:rFonts w:ascii="Calibri" w:hAnsi="Calibri" w:eastAsia="宋体" w:cs="Calibri"/>
                <w:sz w:val="20"/>
                <w:szCs w:val="20"/>
              </w:rPr>
            </w:r>
            <w:r/>
          </w:p>
        </w:tc>
        <w:tc>
          <w:tcPr>
            <w:tcBorders>
              <w:top w:val="single" w:color="auto" w:sz="4" w:space="0"/>
              <w:left w:val="single" w:color="auto" w:sz="4" w:space="0"/>
              <w:bottom w:val="single" w:color="auto" w:sz="4" w:space="0"/>
              <w:right w:val="single" w:color="auto" w:sz="4" w:space="0"/>
            </w:tcBorders>
            <w:tcW w:w="3598" w:type="pct"/>
            <w:vAlign w:val="center"/>
            <w:textDirection w:val="lrTb"/>
            <w:noWrap w:val="false"/>
          </w:tcPr>
          <w:p>
            <w:pPr>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lang w:bidi="ar"/>
                <w14:textFill>
                  <w14:solidFill>
                    <w14:schemeClr w14:val="tx1"/>
                  </w14:solidFill>
                </w14:textFill>
              </w:rPr>
              <w:t xml:space="preserve">3</w:t>
            </w:r>
            <w:r>
              <w:rPr>
                <w:rFonts w:ascii="Times New Roman" w:hAnsi="Times New Roman" w:eastAsia="宋体"/>
                <w:color w:val="000000" w:themeColor="text1"/>
                <w:szCs w:val="21"/>
                <w:lang w:bidi="ar"/>
                <w14:textFill>
                  <w14:solidFill>
                    <w14:schemeClr w14:val="tx1"/>
                  </w14:solidFill>
                </w14:textFill>
              </w:rPr>
              <w:t xml:space="preserve">.</w:t>
            </w:r>
            <w:r>
              <w:rPr>
                <w:rFonts w:hint="eastAsia" w:ascii="Times New Roman" w:hAnsi="Times New Roman" w:eastAsia="宋体"/>
                <w:color w:val="000000" w:themeColor="text1"/>
                <w:szCs w:val="21"/>
                <w:lang w:bidi="ar"/>
                <w14:textFill>
                  <w14:solidFill>
                    <w14:schemeClr w14:val="tx1"/>
                  </w14:solidFill>
                </w14:textFill>
              </w:rPr>
              <w:t xml:space="preserve">投标人根据第四章采购需求中</w:t>
            </w:r>
            <w:r>
              <w:rPr>
                <w:rFonts w:ascii="Times New Roman" w:hAnsi="Times New Roman" w:eastAsia="宋体"/>
                <w:color w:val="000000" w:themeColor="text1"/>
                <w:szCs w:val="21"/>
                <w:lang w:bidi="ar"/>
                <w14:textFill>
                  <w14:solidFill>
                    <w14:schemeClr w14:val="tx1"/>
                  </w14:solidFill>
                </w14:textFill>
              </w:rPr>
              <w:t xml:space="preserve">“</w:t>
            </w:r>
            <w:r>
              <w:rPr>
                <w:rFonts w:hint="eastAsia" w:ascii="Times New Roman" w:hAnsi="Times New Roman" w:eastAsia="宋体"/>
                <w:color w:val="000000" w:themeColor="text1"/>
                <w:szCs w:val="21"/>
                <w:lang w:bidi="ar"/>
                <w14:textFill>
                  <w14:solidFill>
                    <w14:schemeClr w14:val="tx1"/>
                  </w14:solidFill>
                </w14:textFill>
              </w:rPr>
              <w:t xml:space="preserve">建设内容</w:t>
            </w:r>
            <w:r>
              <w:rPr>
                <w:rFonts w:ascii="Times New Roman" w:hAnsi="Times New Roman" w:eastAsia="宋体"/>
                <w:color w:val="000000" w:themeColor="text1"/>
                <w:szCs w:val="21"/>
                <w:lang w:bidi="ar"/>
                <w14:textFill>
                  <w14:solidFill>
                    <w14:schemeClr w14:val="tx1"/>
                  </w14:solidFill>
                </w14:textFill>
              </w:rPr>
              <w:t xml:space="preserve">”</w:t>
            </w:r>
            <w:r>
              <w:rPr>
                <w:rFonts w:hint="eastAsia" w:ascii="Times New Roman" w:hAnsi="Times New Roman" w:eastAsia="宋体"/>
                <w:color w:val="000000" w:themeColor="text1"/>
                <w:szCs w:val="21"/>
                <w:lang w:bidi="ar"/>
                <w14:textFill>
                  <w14:solidFill>
                    <w14:schemeClr w14:val="tx1"/>
                  </w14:solidFill>
                </w14:textFill>
              </w:rPr>
              <w:t xml:space="preserve">，提供科学合理的详细设计方案，方案至少包含：数据安全运营中心建设方案、数据安全防护产品部署方案、数据安全运营服务方案、数据安全工作区设备采购与交付方案。</w:t>
            </w:r>
            <w:r>
              <w:rPr>
                <w:rFonts w:hint="eastAsia" w:ascii="Times New Roman" w:hAnsi="Times New Roman" w:eastAsia="宋体" w:cs="Times New Roman"/>
                <w:color w:val="000000" w:themeColor="text1"/>
                <w:szCs w:val="21"/>
                <w14:textFill>
                  <w14:solidFill>
                    <w14:schemeClr w14:val="tx1"/>
                  </w14:solidFill>
                </w14:textFill>
              </w:rPr>
              <w:t xml:space="preserve">方案应结构清晰，内容科学合理，具有前瞻性。</w:t>
            </w:r>
            <w:r>
              <w:rPr>
                <w:rFonts w:hint="eastAsia" w:ascii="Times New Roman" w:hAnsi="Times New Roman" w:eastAsia="宋体"/>
                <w:color w:val="000000" w:themeColor="text1"/>
                <w:szCs w:val="21"/>
                <w14:textFill>
                  <w14:solidFill>
                    <w14:schemeClr w14:val="tx1"/>
                  </w14:solidFill>
                </w14:textFill>
              </w:rPr>
              <w:t xml:space="preserve">方案优于要求的得</w:t>
            </w:r>
            <w:r>
              <w:rPr>
                <w:rFonts w:hint="eastAsia" w:ascii="Times New Roman" w:hAnsi="Times New Roman" w:eastAsia="宋体"/>
                <w:color w:val="000000" w:themeColor="text1"/>
                <w:szCs w:val="21"/>
                <w:lang w:val="en-US" w:eastAsia="zh-CN"/>
                <w14:textFill>
                  <w14:solidFill>
                    <w14:schemeClr w14:val="tx1"/>
                  </w14:solidFill>
                </w14:textFill>
              </w:rPr>
              <w:t xml:space="preserve">9</w:t>
            </w:r>
            <w:r>
              <w:rPr>
                <w:rFonts w:hint="eastAsia" w:ascii="Times New Roman" w:hAnsi="Times New Roman" w:eastAsia="宋体"/>
                <w:color w:val="000000" w:themeColor="text1"/>
                <w:szCs w:val="21"/>
                <w14:textFill>
                  <w14:solidFill>
                    <w14:schemeClr w14:val="tx1"/>
                  </w14:solidFill>
                </w14:textFill>
              </w:rPr>
              <w:t xml:space="preserve">分，符合要求得</w:t>
            </w:r>
            <w:r>
              <w:rPr>
                <w:rFonts w:hint="eastAsia" w:ascii="Times New Roman" w:hAnsi="Times New Roman" w:eastAsia="宋体"/>
                <w:color w:val="000000" w:themeColor="text1"/>
                <w:szCs w:val="21"/>
                <w:lang w:val="en-US" w:eastAsia="zh-CN"/>
                <w14:textFill>
                  <w14:solidFill>
                    <w14:schemeClr w14:val="tx1"/>
                  </w14:solidFill>
                </w14:textFill>
              </w:rPr>
              <w:t xml:space="preserve">8</w:t>
            </w:r>
            <w:r>
              <w:rPr>
                <w:rFonts w:hint="eastAsia" w:ascii="Times New Roman" w:hAnsi="Times New Roman" w:eastAsia="宋体"/>
                <w:color w:val="000000" w:themeColor="text1"/>
                <w:szCs w:val="21"/>
                <w14:textFill>
                  <w14:solidFill>
                    <w14:schemeClr w14:val="tx1"/>
                  </w14:solidFill>
                </w14:textFill>
              </w:rPr>
              <w:t xml:space="preserve">分，不符合要求或未提供的不得分。</w:t>
            </w:r>
            <w:r/>
          </w:p>
          <w:p>
            <w:pPr>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337" w:type="pct"/>
            <w:vAlign w:val="center"/>
            <w:textDirection w:val="lrTb"/>
            <w:noWrap w:val="false"/>
          </w:tcPr>
          <w:p>
            <w:pPr>
              <w:jc w:val="center"/>
              <w:widowControl/>
              <w:rPr>
                <w:rFonts w:hint="eastAsia"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lang w:val="en-US" w:eastAsia="zh-CN" w:bidi="ar"/>
                <w14:textFill>
                  <w14:solidFill>
                    <w14:schemeClr w14:val="tx1"/>
                  </w14:solidFill>
                </w14:textFill>
              </w:rPr>
              <w:t xml:space="preserve">9</w:t>
            </w:r>
            <w:r/>
          </w:p>
        </w:tc>
      </w:tr>
      <w:tr>
        <w:trPr/>
        <w:tc>
          <w:tcPr>
            <w:tcBorders>
              <w:top w:val="single" w:color="auto" w:sz="4" w:space="0"/>
              <w:left w:val="single" w:color="auto" w:sz="4" w:space="0"/>
              <w:bottom w:val="single" w:color="auto" w:sz="4" w:space="0"/>
              <w:right w:val="single" w:color="auto" w:sz="4" w:space="0"/>
            </w:tcBorders>
            <w:tcW w:w="375" w:type="pct"/>
            <w:vAlign w:val="center"/>
            <w:vMerge w:val="restart"/>
            <w:textDirection w:val="lrTb"/>
            <w:noWrap w:val="false"/>
          </w:tcPr>
          <w:p>
            <w:pPr>
              <w:jc w:val="center"/>
              <w:rPr>
                <w:rFonts w:ascii="Times New Roman" w:hAnsi="Times New Roman" w:eastAsia="宋体"/>
                <w:color w:val="000000"/>
                <w:szCs w:val="21"/>
              </w:rPr>
            </w:pPr>
            <w:r>
              <w:rPr>
                <w:rFonts w:ascii="Times New Roman" w:hAnsi="Times New Roman" w:eastAsia="宋体"/>
                <w:color w:val="000000"/>
                <w:szCs w:val="21"/>
                <w:lang w:bidi="ar"/>
              </w:rPr>
              <w:t xml:space="preserve">6</w:t>
            </w:r>
            <w:r/>
          </w:p>
        </w:tc>
        <w:tc>
          <w:tcPr>
            <w:tcBorders>
              <w:top w:val="single" w:color="auto" w:sz="4" w:space="0"/>
              <w:left w:val="single" w:color="auto" w:sz="4" w:space="0"/>
              <w:bottom w:val="single" w:color="auto" w:sz="4" w:space="0"/>
              <w:right w:val="single" w:color="auto" w:sz="4" w:space="0"/>
            </w:tcBorders>
            <w:tcW w:w="690" w:type="pct"/>
            <w:vAlign w:val="center"/>
            <w:vMerge w:val="restart"/>
            <w:textDirection w:val="lrTb"/>
            <w:noWrap w:val="false"/>
          </w:tcPr>
          <w:p>
            <w:pPr>
              <w:jc w:val="center"/>
              <w:rPr>
                <w:rFonts w:ascii="Times New Roman" w:hAnsi="Times New Roman" w:eastAsia="宋体"/>
                <w:color w:val="000000"/>
                <w:szCs w:val="21"/>
              </w:rPr>
            </w:pPr>
            <w:r>
              <w:rPr>
                <w:rFonts w:hint="eastAsia" w:ascii="Times New Roman" w:hAnsi="Times New Roman" w:eastAsia="宋体"/>
                <w:color w:val="000000"/>
                <w:szCs w:val="21"/>
                <w:lang w:bidi="ar"/>
              </w:rPr>
              <w:t xml:space="preserve">实施方案</w:t>
            </w:r>
            <w:r/>
          </w:p>
          <w:p>
            <w:pPr>
              <w:jc w:val="center"/>
              <w:rPr>
                <w:rFonts w:ascii="Times New Roman" w:hAnsi="Times New Roman" w:eastAsia="宋体"/>
                <w:color w:val="000000"/>
                <w:szCs w:val="21"/>
              </w:rPr>
            </w:pPr>
            <w:r>
              <w:rPr>
                <w:rFonts w:hint="eastAsia" w:ascii="Times New Roman" w:hAnsi="Times New Roman" w:eastAsia="宋体"/>
                <w:color w:val="000000"/>
                <w:szCs w:val="21"/>
                <w:lang w:bidi="ar"/>
              </w:rPr>
              <w:t xml:space="preserve">（19分）</w:t>
            </w:r>
            <w:r/>
          </w:p>
        </w:tc>
        <w:tc>
          <w:tcPr>
            <w:tcBorders>
              <w:top w:val="single" w:color="auto" w:sz="4" w:space="0"/>
              <w:left w:val="single" w:color="auto" w:sz="4" w:space="0"/>
              <w:bottom w:val="single" w:color="auto" w:sz="4" w:space="0"/>
              <w:right w:val="single" w:color="auto" w:sz="4" w:space="0"/>
            </w:tcBorders>
            <w:tcW w:w="3598" w:type="pct"/>
            <w:vAlign w:val="center"/>
            <w:textDirection w:val="lrTb"/>
            <w:noWrap w:val="false"/>
          </w:tcPr>
          <w:p>
            <w:pP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lang w:bidi="ar"/>
                <w14:textFill>
                  <w14:solidFill>
                    <w14:schemeClr w14:val="tx1"/>
                  </w14:solidFill>
                </w14:textFill>
              </w:rPr>
              <w:t xml:space="preserve">1.</w:t>
            </w:r>
            <w:r>
              <w:rPr>
                <w:rFonts w:hint="eastAsia" w:ascii="Times New Roman" w:hAnsi="Times New Roman" w:eastAsia="宋体"/>
                <w:color w:val="000000" w:themeColor="text1"/>
                <w:szCs w:val="21"/>
                <w:lang w:bidi="ar"/>
                <w14:textFill>
                  <w14:solidFill>
                    <w14:schemeClr w14:val="tx1"/>
                  </w14:solidFill>
                </w14:textFill>
              </w:rPr>
              <w:t xml:space="preserve">投标人根据本项目第四章采购需求中</w:t>
            </w:r>
            <w:r>
              <w:rPr>
                <w:rFonts w:ascii="Times New Roman" w:hAnsi="Times New Roman" w:eastAsia="宋体"/>
                <w:color w:val="000000" w:themeColor="text1"/>
                <w:szCs w:val="21"/>
                <w:lang w:bidi="ar"/>
                <w14:textFill>
                  <w14:solidFill>
                    <w14:schemeClr w14:val="tx1"/>
                  </w14:solidFill>
                </w14:textFill>
              </w:rPr>
              <w:t xml:space="preserve">“</w:t>
            </w:r>
            <w:r>
              <w:rPr>
                <w:rFonts w:hint="eastAsia" w:ascii="Times New Roman" w:hAnsi="Times New Roman" w:eastAsia="宋体"/>
                <w:color w:val="000000" w:themeColor="text1"/>
                <w:szCs w:val="21"/>
                <w:lang w:bidi="ar"/>
                <w14:textFill>
                  <w14:solidFill>
                    <w14:schemeClr w14:val="tx1"/>
                  </w14:solidFill>
                </w14:textFill>
              </w:rPr>
              <w:t xml:space="preserve">项目实施要求</w:t>
            </w:r>
            <w:r>
              <w:rPr>
                <w:rFonts w:ascii="Times New Roman" w:hAnsi="Times New Roman" w:eastAsia="宋体"/>
                <w:color w:val="000000" w:themeColor="text1"/>
                <w:szCs w:val="21"/>
                <w:lang w:bidi="ar"/>
                <w14:textFill>
                  <w14:solidFill>
                    <w14:schemeClr w14:val="tx1"/>
                  </w14:solidFill>
                </w14:textFill>
              </w:rPr>
              <w:t xml:space="preserve">”</w:t>
            </w:r>
            <w:r>
              <w:rPr>
                <w:rFonts w:hint="eastAsia" w:ascii="Times New Roman" w:hAnsi="Times New Roman" w:eastAsia="宋体"/>
                <w:color w:val="000000" w:themeColor="text1"/>
                <w:szCs w:val="21"/>
                <w:lang w:bidi="ar"/>
                <w14:textFill>
                  <w14:solidFill>
                    <w14:schemeClr w14:val="tx1"/>
                  </w14:solidFill>
                </w14:textFill>
              </w:rPr>
              <w:t xml:space="preserve">，提供科学合理的项目实施方案，方案至少包含：项目组织、人员保障、项目进度安排、项目管理、项目验收等内容。</w:t>
            </w:r>
            <w:r>
              <w:rPr>
                <w:rFonts w:hint="eastAsia" w:ascii="Times New Roman" w:hAnsi="Times New Roman" w:eastAsia="宋体" w:cs="Times New Roman"/>
                <w:color w:val="000000" w:themeColor="text1"/>
                <w:szCs w:val="21"/>
                <w14:textFill>
                  <w14:solidFill>
                    <w14:schemeClr w14:val="tx1"/>
                  </w14:solidFill>
                </w14:textFill>
              </w:rPr>
              <w:t xml:space="preserve">方案应结构清晰，内容科学合理，具有前瞻性。</w:t>
            </w:r>
            <w:r>
              <w:rPr>
                <w:rFonts w:hint="eastAsia" w:ascii="Times New Roman" w:hAnsi="Times New Roman" w:eastAsia="宋体"/>
                <w:color w:val="000000" w:themeColor="text1"/>
                <w:szCs w:val="21"/>
                <w:lang w:bidi="ar"/>
                <w14:textFill>
                  <w14:solidFill>
                    <w14:schemeClr w14:val="tx1"/>
                  </w14:solidFill>
                </w14:textFill>
              </w:rPr>
              <w:t xml:space="preserve">方案优于要求的得</w:t>
            </w:r>
            <w:r>
              <w:rPr>
                <w:rFonts w:hint="eastAsia" w:ascii="Times New Roman" w:hAnsi="Times New Roman" w:eastAsia="宋体"/>
                <w:color w:val="000000" w:themeColor="text1"/>
                <w:szCs w:val="21"/>
                <w:lang w:val="en-US" w:eastAsia="zh-CN" w:bidi="ar"/>
                <w14:textFill>
                  <w14:solidFill>
                    <w14:schemeClr w14:val="tx1"/>
                  </w14:solidFill>
                </w14:textFill>
              </w:rPr>
              <w:t xml:space="preserve">8</w:t>
            </w:r>
            <w:r>
              <w:rPr>
                <w:rFonts w:hint="eastAsia" w:ascii="Times New Roman" w:hAnsi="Times New Roman" w:eastAsia="宋体"/>
                <w:color w:val="000000" w:themeColor="text1"/>
                <w:szCs w:val="21"/>
                <w:lang w:bidi="ar"/>
                <w14:textFill>
                  <w14:solidFill>
                    <w14:schemeClr w14:val="tx1"/>
                  </w14:solidFill>
                </w14:textFill>
              </w:rPr>
              <w:t xml:space="preserve">分，符合要求得</w:t>
            </w:r>
            <w:r>
              <w:rPr>
                <w:rFonts w:hint="eastAsia" w:ascii="Times New Roman" w:hAnsi="Times New Roman" w:eastAsia="宋体"/>
                <w:color w:val="000000" w:themeColor="text1"/>
                <w:szCs w:val="21"/>
                <w:lang w:val="en-US" w:eastAsia="zh-CN" w:bidi="ar"/>
                <w14:textFill>
                  <w14:solidFill>
                    <w14:schemeClr w14:val="tx1"/>
                  </w14:solidFill>
                </w14:textFill>
              </w:rPr>
              <w:t xml:space="preserve">7</w:t>
            </w:r>
            <w:r>
              <w:rPr>
                <w:rFonts w:hint="eastAsia" w:ascii="Times New Roman" w:hAnsi="Times New Roman" w:eastAsia="宋体"/>
                <w:color w:val="000000" w:themeColor="text1"/>
                <w:szCs w:val="21"/>
                <w:lang w:bidi="ar"/>
                <w14:textFill>
                  <w14:solidFill>
                    <w14:schemeClr w14:val="tx1"/>
                  </w14:solidFill>
                </w14:textFill>
              </w:rPr>
              <w:t xml:space="preserve">分，不符合要求或未提供的不得分。</w:t>
            </w:r>
            <w:r/>
          </w:p>
          <w:p>
            <w:pPr>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lang w:bidi="ar"/>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337" w:type="pct"/>
            <w:vAlign w:val="center"/>
            <w:textDirection w:val="lrTb"/>
            <w:noWrap w:val="false"/>
          </w:tcPr>
          <w:p>
            <w:pPr>
              <w:jc w:val="center"/>
              <w:widowControl/>
              <w:rPr>
                <w:rFonts w:hint="eastAsia"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lang w:val="en-US" w:eastAsia="zh-CN" w:bidi="ar"/>
                <w14:textFill>
                  <w14:solidFill>
                    <w14:schemeClr w14:val="tx1"/>
                  </w14:solidFill>
                </w14:textFill>
              </w:rPr>
              <w:t xml:space="preserve">8</w:t>
            </w:r>
            <w:r/>
          </w:p>
        </w:tc>
      </w:tr>
      <w:tr>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rPr>
                <w:rFonts w:ascii="Calibri" w:hAnsi="Calibri" w:eastAsia="宋体" w:cs="Calibri"/>
                <w:sz w:val="20"/>
                <w:szCs w:val="20"/>
              </w:rPr>
            </w:pPr>
            <w:r>
              <w:rPr>
                <w:rFonts w:ascii="Calibri" w:hAnsi="Calibri" w:eastAsia="宋体" w:cs="Calibri"/>
                <w:sz w:val="20"/>
                <w:szCs w:val="20"/>
              </w:rPr>
            </w:r>
            <w:r/>
          </w:p>
        </w:tc>
        <w:tc>
          <w:tcPr>
            <w:tcBorders>
              <w:top w:val="single" w:color="auto" w:sz="4" w:space="0"/>
              <w:left w:val="single" w:color="auto" w:sz="4" w:space="0"/>
              <w:bottom w:val="single" w:color="auto" w:sz="4" w:space="0"/>
              <w:right w:val="single" w:color="auto" w:sz="4" w:space="0"/>
            </w:tcBorders>
            <w:tcW w:w="690" w:type="pct"/>
            <w:vAlign w:val="center"/>
            <w:vMerge w:val="continue"/>
            <w:textDirection w:val="lrTb"/>
            <w:noWrap w:val="false"/>
          </w:tcPr>
          <w:p>
            <w:pPr>
              <w:jc w:val="center"/>
              <w:rPr>
                <w:rFonts w:ascii="Calibri" w:hAnsi="Calibri" w:eastAsia="宋体" w:cs="Calibri"/>
                <w:sz w:val="20"/>
                <w:szCs w:val="20"/>
              </w:rPr>
            </w:pPr>
            <w:r>
              <w:rPr>
                <w:rFonts w:ascii="Calibri" w:hAnsi="Calibri" w:eastAsia="宋体" w:cs="Calibri"/>
                <w:sz w:val="20"/>
                <w:szCs w:val="20"/>
              </w:rPr>
            </w:r>
            <w:r/>
          </w:p>
        </w:tc>
        <w:tc>
          <w:tcPr>
            <w:tcBorders>
              <w:top w:val="single" w:color="auto" w:sz="4" w:space="0"/>
              <w:left w:val="single" w:color="auto" w:sz="4" w:space="0"/>
              <w:bottom w:val="single" w:color="auto" w:sz="4" w:space="0"/>
              <w:right w:val="single" w:color="auto" w:sz="4" w:space="0"/>
            </w:tcBorders>
            <w:tcW w:w="3598" w:type="pct"/>
            <w:vAlign w:val="center"/>
            <w:textDirection w:val="lrTb"/>
            <w:noWrap w:val="false"/>
          </w:tcPr>
          <w:p>
            <w:pPr>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lang w:bidi="ar"/>
                <w14:textFill>
                  <w14:solidFill>
                    <w14:schemeClr w14:val="tx1"/>
                  </w14:solidFill>
                </w14:textFill>
              </w:rPr>
              <w:t xml:space="preserve">2.</w:t>
            </w:r>
            <w:r>
              <w:rPr>
                <w:rFonts w:hint="eastAsia" w:ascii="Times New Roman" w:hAnsi="Times New Roman" w:eastAsia="宋体"/>
                <w:color w:val="000000" w:themeColor="text1"/>
                <w:szCs w:val="21"/>
                <w:lang w:bidi="ar"/>
                <w14:textFill>
                  <w14:solidFill>
                    <w14:schemeClr w14:val="tx1"/>
                  </w14:solidFill>
                </w14:textFill>
              </w:rPr>
              <w:t xml:space="preserve">投标人根据本项目第四章采购需求中</w:t>
            </w:r>
            <w:r>
              <w:rPr>
                <w:rFonts w:ascii="Times New Roman" w:hAnsi="Times New Roman" w:eastAsia="宋体"/>
                <w:color w:val="000000" w:themeColor="text1"/>
                <w:szCs w:val="21"/>
                <w:lang w:bidi="ar"/>
                <w14:textFill>
                  <w14:solidFill>
                    <w14:schemeClr w14:val="tx1"/>
                  </w14:solidFill>
                </w14:textFill>
              </w:rPr>
              <w:t xml:space="preserve">“</w:t>
            </w:r>
            <w:r>
              <w:rPr>
                <w:rFonts w:hint="eastAsia" w:ascii="Times New Roman" w:hAnsi="Times New Roman" w:eastAsia="宋体"/>
                <w:color w:val="000000" w:themeColor="text1"/>
                <w:szCs w:val="21"/>
                <w:lang w:bidi="ar"/>
                <w14:textFill>
                  <w14:solidFill>
                    <w14:schemeClr w14:val="tx1"/>
                  </w14:solidFill>
                </w14:textFill>
              </w:rPr>
              <w:t xml:space="preserve">项目培训要求</w:t>
            </w:r>
            <w:r>
              <w:rPr>
                <w:rFonts w:ascii="Times New Roman" w:hAnsi="Times New Roman" w:eastAsia="宋体"/>
                <w:color w:val="000000" w:themeColor="text1"/>
                <w:szCs w:val="21"/>
                <w:lang w:bidi="ar"/>
                <w14:textFill>
                  <w14:solidFill>
                    <w14:schemeClr w14:val="tx1"/>
                  </w14:solidFill>
                </w14:textFill>
              </w:rPr>
              <w:t xml:space="preserve">”</w:t>
            </w:r>
            <w:r>
              <w:rPr>
                <w:rFonts w:hint="eastAsia" w:ascii="Times New Roman" w:hAnsi="Times New Roman" w:eastAsia="宋体"/>
                <w:color w:val="000000" w:themeColor="text1"/>
                <w:szCs w:val="21"/>
                <w:lang w:bidi="ar"/>
                <w14:textFill>
                  <w14:solidFill>
                    <w14:schemeClr w14:val="tx1"/>
                  </w14:solidFill>
                </w14:textFill>
              </w:rPr>
              <w:t xml:space="preserve">，提供科学合理的培训服务方案，方案至少包含：培训目的、培训服务原则、培训质量保障、培训计划、培训内容等内容。</w:t>
            </w:r>
            <w:r>
              <w:rPr>
                <w:rFonts w:hint="eastAsia" w:ascii="Times New Roman" w:hAnsi="Times New Roman" w:eastAsia="宋体" w:cs="Times New Roman"/>
                <w:color w:val="000000" w:themeColor="text1"/>
                <w:szCs w:val="21"/>
                <w14:textFill>
                  <w14:solidFill>
                    <w14:schemeClr w14:val="tx1"/>
                  </w14:solidFill>
                </w14:textFill>
              </w:rPr>
              <w:t xml:space="preserve">方案应结构清晰，内容科学合理，具有前瞻性。</w:t>
            </w:r>
            <w:r>
              <w:rPr>
                <w:rFonts w:hint="eastAsia" w:ascii="Times New Roman" w:hAnsi="Times New Roman" w:eastAsia="宋体"/>
                <w:color w:val="000000" w:themeColor="text1"/>
                <w:szCs w:val="21"/>
                <w:lang w:bidi="ar"/>
                <w14:textFill>
                  <w14:solidFill>
                    <w14:schemeClr w14:val="tx1"/>
                  </w14:solidFill>
                </w14:textFill>
              </w:rPr>
              <w:t xml:space="preserve">方案优于要求的得</w:t>
            </w:r>
            <w:r>
              <w:rPr>
                <w:rFonts w:hint="eastAsia" w:ascii="Times New Roman" w:hAnsi="Times New Roman" w:eastAsia="宋体"/>
                <w:color w:val="000000" w:themeColor="text1"/>
                <w:szCs w:val="21"/>
                <w:lang w:val="en-US" w:eastAsia="zh-CN" w:bidi="ar"/>
                <w14:textFill>
                  <w14:solidFill>
                    <w14:schemeClr w14:val="tx1"/>
                  </w14:solidFill>
                </w14:textFill>
              </w:rPr>
              <w:t xml:space="preserve">6</w:t>
            </w:r>
            <w:r>
              <w:rPr>
                <w:rFonts w:hint="eastAsia" w:ascii="Times New Roman" w:hAnsi="Times New Roman" w:eastAsia="宋体"/>
                <w:color w:val="000000" w:themeColor="text1"/>
                <w:szCs w:val="21"/>
                <w:lang w:bidi="ar"/>
                <w14:textFill>
                  <w14:solidFill>
                    <w14:schemeClr w14:val="tx1"/>
                  </w14:solidFill>
                </w14:textFill>
              </w:rPr>
              <w:t xml:space="preserve">分，符合要求得</w:t>
            </w:r>
            <w:r>
              <w:rPr>
                <w:rFonts w:hint="eastAsia" w:ascii="Times New Roman" w:hAnsi="Times New Roman" w:eastAsia="宋体"/>
                <w:color w:val="000000" w:themeColor="text1"/>
                <w:szCs w:val="21"/>
                <w:lang w:val="en-US" w:eastAsia="zh-CN" w:bidi="ar"/>
                <w14:textFill>
                  <w14:solidFill>
                    <w14:schemeClr w14:val="tx1"/>
                  </w14:solidFill>
                </w14:textFill>
              </w:rPr>
              <w:t xml:space="preserve">5</w:t>
            </w:r>
            <w:r>
              <w:rPr>
                <w:rFonts w:hint="eastAsia" w:ascii="Times New Roman" w:hAnsi="Times New Roman" w:eastAsia="宋体"/>
                <w:color w:val="000000" w:themeColor="text1"/>
                <w:szCs w:val="21"/>
                <w:lang w:bidi="ar"/>
                <w14:textFill>
                  <w14:solidFill>
                    <w14:schemeClr w14:val="tx1"/>
                  </w14:solidFill>
                </w14:textFill>
              </w:rPr>
              <w:t xml:space="preserve">分，不符合要求或未提供的不得分。</w:t>
            </w:r>
            <w:r/>
          </w:p>
          <w:p>
            <w:pPr>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lang w:bidi="ar"/>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337" w:type="pct"/>
            <w:vAlign w:val="center"/>
            <w:textDirection w:val="lrTb"/>
            <w:noWrap w:val="false"/>
          </w:tcPr>
          <w:p>
            <w:pPr>
              <w:jc w:val="center"/>
              <w:widowControl/>
              <w:rPr>
                <w:rFonts w:hint="eastAsia"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lang w:val="en-US" w:eastAsia="zh-CN" w:bidi="ar"/>
                <w14:textFill>
                  <w14:solidFill>
                    <w14:schemeClr w14:val="tx1"/>
                  </w14:solidFill>
                </w14:textFill>
              </w:rPr>
              <w:t xml:space="preserve">6</w:t>
            </w:r>
            <w:r/>
          </w:p>
        </w:tc>
      </w:tr>
      <w:tr>
        <w:trPr/>
        <w:tc>
          <w:tcPr>
            <w:tcBorders>
              <w:top w:val="single" w:color="auto" w:sz="4" w:space="0"/>
              <w:left w:val="single" w:color="auto" w:sz="4" w:space="0"/>
              <w:bottom w:val="single" w:color="auto" w:sz="4" w:space="0"/>
              <w:right w:val="single" w:color="auto" w:sz="4" w:space="0"/>
            </w:tcBorders>
            <w:tcW w:w="375" w:type="pct"/>
            <w:vAlign w:val="center"/>
            <w:vMerge w:val="continue"/>
            <w:textDirection w:val="lrTb"/>
            <w:noWrap w:val="false"/>
          </w:tcPr>
          <w:p>
            <w:pPr>
              <w:rPr>
                <w:rFonts w:ascii="Calibri" w:hAnsi="Calibri" w:eastAsia="宋体" w:cs="Calibri"/>
                <w:sz w:val="20"/>
                <w:szCs w:val="20"/>
              </w:rPr>
            </w:pPr>
            <w:r>
              <w:rPr>
                <w:rFonts w:ascii="Calibri" w:hAnsi="Calibri" w:eastAsia="宋体" w:cs="Calibri"/>
                <w:sz w:val="20"/>
                <w:szCs w:val="20"/>
              </w:rPr>
            </w:r>
            <w:r/>
          </w:p>
        </w:tc>
        <w:tc>
          <w:tcPr>
            <w:tcBorders>
              <w:top w:val="single" w:color="auto" w:sz="4" w:space="0"/>
              <w:left w:val="single" w:color="auto" w:sz="4" w:space="0"/>
              <w:bottom w:val="single" w:color="auto" w:sz="4" w:space="0"/>
              <w:right w:val="single" w:color="auto" w:sz="4" w:space="0"/>
            </w:tcBorders>
            <w:tcW w:w="690" w:type="pct"/>
            <w:vAlign w:val="center"/>
            <w:vMerge w:val="continue"/>
            <w:textDirection w:val="lrTb"/>
            <w:noWrap w:val="false"/>
          </w:tcPr>
          <w:p>
            <w:pPr>
              <w:jc w:val="center"/>
              <w:rPr>
                <w:rFonts w:ascii="Calibri" w:hAnsi="Calibri" w:eastAsia="宋体" w:cs="Calibri"/>
                <w:sz w:val="20"/>
                <w:szCs w:val="20"/>
              </w:rPr>
            </w:pPr>
            <w:r>
              <w:rPr>
                <w:rFonts w:ascii="Calibri" w:hAnsi="Calibri" w:eastAsia="宋体" w:cs="Calibri"/>
                <w:sz w:val="20"/>
                <w:szCs w:val="20"/>
              </w:rPr>
            </w:r>
            <w:r/>
          </w:p>
        </w:tc>
        <w:tc>
          <w:tcPr>
            <w:tcBorders>
              <w:top w:val="single" w:color="auto" w:sz="4" w:space="0"/>
              <w:left w:val="single" w:color="auto" w:sz="4" w:space="0"/>
              <w:bottom w:val="single" w:color="auto" w:sz="4" w:space="0"/>
              <w:right w:val="single" w:color="auto" w:sz="4" w:space="0"/>
            </w:tcBorders>
            <w:tcW w:w="3598" w:type="pct"/>
            <w:vAlign w:val="center"/>
            <w:textDirection w:val="lrTb"/>
            <w:noWrap w:val="false"/>
          </w:tcPr>
          <w:p>
            <w:pPr>
              <w:widowControl/>
              <w:rPr>
                <w:rFonts w:ascii="Times New Roman" w:hAnsi="Times New Roman" w:eastAsia="宋体"/>
                <w:color w:val="000000" w:themeColor="text1"/>
                <w:szCs w:val="21"/>
                <w14:textFill>
                  <w14:solidFill>
                    <w14:schemeClr w14:val="tx1"/>
                  </w14:solidFill>
                </w14:textFill>
              </w:rPr>
            </w:pPr>
            <w:r>
              <w:rPr>
                <w:rFonts w:ascii="Times New Roman" w:hAnsi="Times New Roman" w:eastAsia="宋体"/>
                <w:color w:val="000000" w:themeColor="text1"/>
                <w:szCs w:val="21"/>
                <w:lang w:bidi="ar"/>
                <w14:textFill>
                  <w14:solidFill>
                    <w14:schemeClr w14:val="tx1"/>
                  </w14:solidFill>
                </w14:textFill>
              </w:rPr>
              <w:t xml:space="preserve">3.</w:t>
            </w:r>
            <w:r>
              <w:rPr>
                <w:rFonts w:hint="eastAsia" w:ascii="Times New Roman" w:hAnsi="Times New Roman" w:eastAsia="宋体"/>
                <w:color w:val="000000" w:themeColor="text1"/>
                <w:szCs w:val="21"/>
                <w:lang w:bidi="ar"/>
                <w14:textFill>
                  <w14:solidFill>
                    <w14:schemeClr w14:val="tx1"/>
                  </w14:solidFill>
                </w14:textFill>
              </w:rPr>
              <w:t xml:space="preserve">投标人根据本项目第四章采购需求中</w:t>
            </w:r>
            <w:r>
              <w:rPr>
                <w:rFonts w:ascii="Times New Roman" w:hAnsi="Times New Roman" w:eastAsia="宋体"/>
                <w:color w:val="000000" w:themeColor="text1"/>
                <w:szCs w:val="21"/>
                <w:lang w:bidi="ar"/>
                <w14:textFill>
                  <w14:solidFill>
                    <w14:schemeClr w14:val="tx1"/>
                  </w14:solidFill>
                </w14:textFill>
              </w:rPr>
              <w:t xml:space="preserve">“</w:t>
            </w:r>
            <w:r>
              <w:rPr>
                <w:rFonts w:hint="eastAsia" w:ascii="Times New Roman" w:hAnsi="Times New Roman" w:eastAsia="宋体"/>
                <w:color w:val="000000" w:themeColor="text1"/>
                <w:szCs w:val="21"/>
                <w:lang w:bidi="ar"/>
                <w14:textFill>
                  <w14:solidFill>
                    <w14:schemeClr w14:val="tx1"/>
                  </w14:solidFill>
                </w14:textFill>
              </w:rPr>
              <w:t xml:space="preserve">售后服务要求</w:t>
            </w:r>
            <w:r>
              <w:rPr>
                <w:rFonts w:ascii="Times New Roman" w:hAnsi="Times New Roman" w:eastAsia="宋体"/>
                <w:color w:val="000000" w:themeColor="text1"/>
                <w:szCs w:val="21"/>
                <w:lang w:bidi="ar"/>
                <w14:textFill>
                  <w14:solidFill>
                    <w14:schemeClr w14:val="tx1"/>
                  </w14:solidFill>
                </w14:textFill>
              </w:rPr>
              <w:t xml:space="preserve">”</w:t>
            </w:r>
            <w:r>
              <w:rPr>
                <w:rFonts w:hint="eastAsia" w:ascii="Times New Roman" w:hAnsi="Times New Roman" w:eastAsia="宋体"/>
                <w:color w:val="000000" w:themeColor="text1"/>
                <w:szCs w:val="21"/>
                <w:lang w:bidi="ar"/>
                <w14:textFill>
                  <w14:solidFill>
                    <w14:schemeClr w14:val="tx1"/>
                  </w14:solidFill>
                </w14:textFill>
              </w:rPr>
              <w:t xml:space="preserve">，提供科学合理的售后服务方案，方案至少包含：售后服务内容、应急处理预案、售后服务质量保障方案、服务人员稳定性保障方案等内容。</w:t>
            </w:r>
            <w:r>
              <w:rPr>
                <w:rFonts w:hint="eastAsia" w:ascii="Times New Roman" w:hAnsi="Times New Roman" w:eastAsia="宋体" w:cs="Times New Roman"/>
                <w:color w:val="000000" w:themeColor="text1"/>
                <w:szCs w:val="21"/>
                <w14:textFill>
                  <w14:solidFill>
                    <w14:schemeClr w14:val="tx1"/>
                  </w14:solidFill>
                </w14:textFill>
              </w:rPr>
              <w:t xml:space="preserve">方案应结构清晰，内容科学合理，具有前瞻性。</w:t>
            </w:r>
            <w:r>
              <w:rPr>
                <w:rFonts w:hint="eastAsia" w:ascii="Times New Roman" w:hAnsi="Times New Roman" w:eastAsia="宋体"/>
                <w:color w:val="000000" w:themeColor="text1"/>
                <w:szCs w:val="21"/>
                <w:lang w:bidi="ar"/>
                <w14:textFill>
                  <w14:solidFill>
                    <w14:schemeClr w14:val="tx1"/>
                  </w14:solidFill>
                </w14:textFill>
              </w:rPr>
              <w:t xml:space="preserve">方案优于要求的</w:t>
            </w:r>
            <w:r>
              <w:rPr>
                <w:rFonts w:hint="eastAsia" w:ascii="Times New Roman" w:hAnsi="Times New Roman" w:eastAsia="宋体"/>
                <w:color w:val="000000" w:themeColor="text1"/>
                <w:szCs w:val="21"/>
                <w:lang w:val="en-US" w:eastAsia="zh-CN" w:bidi="ar"/>
                <w14:textFill>
                  <w14:solidFill>
                    <w14:schemeClr w14:val="tx1"/>
                  </w14:solidFill>
                </w14:textFill>
              </w:rPr>
              <w:t xml:space="preserve">5</w:t>
            </w:r>
            <w:r>
              <w:rPr>
                <w:rFonts w:hint="eastAsia" w:ascii="Times New Roman" w:hAnsi="Times New Roman" w:eastAsia="宋体"/>
                <w:color w:val="000000" w:themeColor="text1"/>
                <w:szCs w:val="21"/>
                <w:lang w:bidi="ar"/>
                <w14:textFill>
                  <w14:solidFill>
                    <w14:schemeClr w14:val="tx1"/>
                  </w14:solidFill>
                </w14:textFill>
              </w:rPr>
              <w:t xml:space="preserve">分，符合要求得</w:t>
            </w:r>
            <w:r>
              <w:rPr>
                <w:rFonts w:hint="eastAsia" w:ascii="Times New Roman" w:hAnsi="Times New Roman" w:eastAsia="宋体"/>
                <w:color w:val="000000" w:themeColor="text1"/>
                <w:szCs w:val="21"/>
                <w:lang w:val="en-US" w:eastAsia="zh-CN" w:bidi="ar"/>
                <w14:textFill>
                  <w14:solidFill>
                    <w14:schemeClr w14:val="tx1"/>
                  </w14:solidFill>
                </w14:textFill>
              </w:rPr>
              <w:t xml:space="preserve">4</w:t>
            </w:r>
            <w:r>
              <w:rPr>
                <w:rFonts w:hint="eastAsia" w:ascii="Times New Roman" w:hAnsi="Times New Roman" w:eastAsia="宋体"/>
                <w:color w:val="000000" w:themeColor="text1"/>
                <w:szCs w:val="21"/>
                <w:lang w:bidi="ar"/>
                <w14:textFill>
                  <w14:solidFill>
                    <w14:schemeClr w14:val="tx1"/>
                  </w14:solidFill>
                </w14:textFill>
              </w:rPr>
              <w:t xml:space="preserve">分，不符合要求或未提供的不得分。</w:t>
            </w:r>
            <w:r/>
          </w:p>
          <w:p>
            <w:pPr>
              <w:widowControl/>
              <w:rPr>
                <w:rFonts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lang w:bidi="ar"/>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337" w:type="pct"/>
            <w:vAlign w:val="center"/>
            <w:textDirection w:val="lrTb"/>
            <w:noWrap w:val="false"/>
          </w:tcPr>
          <w:p>
            <w:pPr>
              <w:jc w:val="center"/>
              <w:widowControl/>
              <w:rPr>
                <w:rFonts w:hint="eastAsia" w:ascii="Times New Roman" w:hAnsi="Times New Roman" w:eastAsia="宋体"/>
                <w:color w:val="000000" w:themeColor="text1"/>
                <w:szCs w:val="21"/>
                <w14:textFill>
                  <w14:solidFill>
                    <w14:schemeClr w14:val="tx1"/>
                  </w14:solidFill>
                </w14:textFill>
              </w:rPr>
            </w:pPr>
            <w:r>
              <w:rPr>
                <w:rFonts w:hint="eastAsia" w:ascii="Times New Roman" w:hAnsi="Times New Roman" w:eastAsia="宋体"/>
                <w:color w:val="000000" w:themeColor="text1"/>
                <w:szCs w:val="21"/>
                <w:lang w:val="en-US" w:eastAsia="zh-CN" w:bidi="ar"/>
                <w14:textFill>
                  <w14:solidFill>
                    <w14:schemeClr w14:val="tx1"/>
                  </w14:solidFill>
                </w14:textFill>
              </w:rPr>
              <w:t xml:space="preserve">5</w:t>
            </w:r>
            <w:r/>
          </w:p>
        </w:tc>
      </w:tr>
      <w:tr>
        <w:trPr/>
        <w:tc>
          <w:tcPr>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jc w:val="center"/>
              <w:widowControl/>
              <w:rPr>
                <w:rFonts w:ascii="Times New Roman" w:hAnsi="Times New Roman" w:eastAsia="宋体"/>
                <w:color w:val="000000"/>
                <w:szCs w:val="21"/>
              </w:rPr>
            </w:pPr>
            <w:r>
              <w:rPr>
                <w:rFonts w:ascii="Times New Roman" w:hAnsi="Times New Roman" w:eastAsia="宋体"/>
                <w:color w:val="000000"/>
                <w:szCs w:val="21"/>
                <w:lang w:bidi="ar"/>
              </w:rPr>
              <w:t xml:space="preserve">7</w:t>
            </w: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系统演示</w:t>
            </w:r>
            <w:r/>
          </w:p>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w:t>
            </w:r>
            <w:r>
              <w:rPr>
                <w:rFonts w:ascii="Times New Roman" w:hAnsi="Times New Roman" w:eastAsia="宋体" w:cs="Times New Roman"/>
                <w:color w:val="000000"/>
                <w:szCs w:val="21"/>
              </w:rPr>
              <w:t xml:space="preserve">15</w:t>
            </w:r>
            <w:r>
              <w:rPr>
                <w:rFonts w:hint="eastAsia" w:ascii="Times New Roman" w:hAnsi="Times New Roman" w:eastAsia="宋体" w:cs="Times New Roman"/>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3598" w:type="pct"/>
            <w:vAlign w:val="center"/>
            <w:textDirection w:val="lrTb"/>
            <w:noWrap w:val="false"/>
          </w:tcPr>
          <w:p>
            <w:pP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rPr>
                <w:rFonts w:hint="eastAsia" w:ascii="Times New Roman" w:hAnsi="Times New Roman" w:eastAsia="宋体" w:cs="Times New Roman"/>
                <w:color w:val="000000"/>
                <w:szCs w:val="21"/>
              </w:rPr>
              <w:t xml:space="preserve">演示数据溯源分析功能：</w:t>
            </w:r>
            <w:r/>
          </w:p>
          <w:p>
            <w:pPr>
              <w:rPr>
                <w:rFonts w:hint="eastAsia" w:ascii="Times New Roman" w:hAnsi="Times New Roman" w:eastAsia="宋体" w:cs="Times New Roman"/>
                <w:color w:val="000000"/>
                <w:szCs w:val="21"/>
                <w:lang w:eastAsia="zh-CN"/>
              </w:rPr>
            </w:pPr>
            <w:r>
              <w:rPr>
                <w:rFonts w:hint="eastAsia" w:ascii="Times New Roman" w:hAnsi="Times New Roman" w:eastAsia="宋体" w:cs="Times New Roman"/>
                <w:color w:val="000000"/>
                <w:szCs w:val="21"/>
              </w:rPr>
              <w:t xml:space="preserve">（1）支持对敏感信息泄露事件或异常数据操作事件进行溯源分析</w:t>
            </w:r>
            <w:r>
              <w:rPr>
                <w:rFonts w:hint="eastAsia" w:ascii="Times New Roman" w:hAnsi="Times New Roman" w:eastAsia="宋体" w:cs="Times New Roman"/>
                <w:color w:val="000000"/>
                <w:szCs w:val="21"/>
                <w:lang w:eastAsia="zh-CN"/>
              </w:rPr>
              <w:t xml:space="preserve">；</w:t>
            </w:r>
            <w:r/>
          </w:p>
          <w:p>
            <w:pPr>
              <w:rPr>
                <w:rFonts w:hint="eastAsia" w:ascii="Times New Roman" w:hAnsi="Times New Roman" w:eastAsia="宋体" w:cs="Times New Roman"/>
                <w:color w:val="000000"/>
                <w:szCs w:val="21"/>
                <w:lang w:eastAsia="zh-CN"/>
              </w:rPr>
            </w:pPr>
            <w:r>
              <w:rPr>
                <w:rFonts w:hint="eastAsia" w:ascii="Times New Roman" w:hAnsi="Times New Roman" w:eastAsia="宋体" w:cs="Times New Roman"/>
                <w:color w:val="000000"/>
                <w:szCs w:val="21"/>
              </w:rPr>
              <w:t xml:space="preserve">（</w:t>
            </w:r>
            <w:r>
              <w:rPr>
                <w:rFonts w:ascii="Times New Roman" w:hAnsi="Times New Roman" w:eastAsia="宋体" w:cs="Times New Roman"/>
                <w:color w:val="000000"/>
                <w:szCs w:val="21"/>
              </w:rPr>
              <w:t xml:space="preserve">2</w:t>
            </w:r>
            <w:r>
              <w:rPr>
                <w:rFonts w:hint="eastAsia" w:ascii="Times New Roman" w:hAnsi="Times New Roman" w:eastAsia="宋体" w:cs="Times New Roman"/>
                <w:color w:val="000000"/>
                <w:szCs w:val="21"/>
              </w:rPr>
              <w:t xml:space="preserve">）支持敏感数据的溯源管理</w:t>
            </w:r>
            <w:r>
              <w:rPr>
                <w:rFonts w:hint="eastAsia" w:ascii="Times New Roman" w:hAnsi="Times New Roman" w:eastAsia="宋体" w:cs="Times New Roman"/>
                <w:color w:val="000000"/>
                <w:szCs w:val="21"/>
                <w:lang w:eastAsia="zh-CN"/>
              </w:rPr>
              <w:t xml:space="preserve">；</w:t>
            </w:r>
            <w:r/>
          </w:p>
          <w:p>
            <w:pPr>
              <w:widowControl/>
              <w:rPr>
                <w:rFonts w:hint="eastAsia" w:ascii="Times New Roman" w:hAnsi="Times New Roman" w:eastAsia="宋体" w:cs="Times New Roman"/>
                <w:color w:val="000000"/>
                <w:szCs w:val="21"/>
                <w:lang w:eastAsia="zh-CN"/>
              </w:rPr>
            </w:pPr>
            <w:r>
              <w:rPr>
                <w:rFonts w:hint="eastAsia" w:ascii="Times New Roman" w:hAnsi="Times New Roman" w:eastAsia="宋体" w:cs="Times New Roman"/>
                <w:color w:val="000000"/>
                <w:szCs w:val="21"/>
              </w:rPr>
              <w:t xml:space="preserve">（</w:t>
            </w:r>
            <w:r>
              <w:rPr>
                <w:rFonts w:ascii="Times New Roman" w:hAnsi="Times New Roman" w:eastAsia="宋体" w:cs="Times New Roman"/>
                <w:color w:val="000000"/>
                <w:szCs w:val="21"/>
              </w:rPr>
              <w:t xml:space="preserve">3</w:t>
            </w:r>
            <w:r>
              <w:rPr>
                <w:rFonts w:hint="eastAsia" w:ascii="Times New Roman" w:hAnsi="Times New Roman" w:eastAsia="宋体" w:cs="Times New Roman"/>
                <w:color w:val="000000"/>
                <w:szCs w:val="21"/>
              </w:rPr>
              <w:t xml:space="preserve">）支持数据泄露场景自定义规则模型管理包括对数据操作行为审计、数据违规操作、敏感数据泄露、高频访问、越权访问、非工作时间访问等内容</w:t>
            </w:r>
            <w:r>
              <w:rPr>
                <w:rFonts w:hint="eastAsia" w:ascii="Times New Roman" w:hAnsi="Times New Roman" w:eastAsia="宋体" w:cs="Times New Roman"/>
                <w:color w:val="000000"/>
                <w:szCs w:val="21"/>
                <w:lang w:eastAsia="zh-CN"/>
              </w:rPr>
              <w:t xml:space="preserve">；</w:t>
            </w:r>
            <w:r/>
          </w:p>
          <w:p>
            <w:pP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w:t>
            </w:r>
            <w:r>
              <w:rPr>
                <w:rFonts w:ascii="Times New Roman" w:hAnsi="Times New Roman" w:eastAsia="宋体" w:cs="Times New Roman"/>
                <w:color w:val="000000"/>
                <w:szCs w:val="21"/>
              </w:rPr>
              <w:t xml:space="preserve">4</w:t>
            </w:r>
            <w:r>
              <w:rPr>
                <w:rFonts w:hint="eastAsia" w:ascii="Times New Roman" w:hAnsi="Times New Roman" w:eastAsia="宋体" w:cs="Times New Roman"/>
                <w:color w:val="000000"/>
                <w:szCs w:val="21"/>
              </w:rPr>
              <w:t xml:space="preserve">）支持基于异常行为的事件日志关联分析功能，具备异常日志数据的溯源分析能力；</w:t>
            </w:r>
            <w:r/>
          </w:p>
          <w:p>
            <w:pP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w:t>
            </w:r>
            <w:r>
              <w:rPr>
                <w:rFonts w:ascii="Times New Roman" w:hAnsi="Times New Roman" w:eastAsia="宋体" w:cs="Times New Roman"/>
                <w:color w:val="000000"/>
                <w:szCs w:val="21"/>
              </w:rPr>
              <w:t xml:space="preserve">5</w:t>
            </w:r>
            <w:r>
              <w:rPr>
                <w:rFonts w:hint="eastAsia" w:ascii="Times New Roman" w:hAnsi="Times New Roman" w:eastAsia="宋体" w:cs="Times New Roman"/>
                <w:color w:val="000000"/>
                <w:szCs w:val="21"/>
              </w:rPr>
              <w:t xml:space="preserve">）支持通过可视化方式，回溯主机操作行为，可通过时间轴快速调整，进行指令操作查看。</w:t>
            </w:r>
            <w:r/>
          </w:p>
          <w:p>
            <w:pP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每演示一个功能项得</w:t>
            </w:r>
            <w:r>
              <w:rPr>
                <w:rFonts w:ascii="Times New Roman" w:hAnsi="Times New Roman" w:eastAsia="宋体" w:cs="Times New Roman"/>
                <w:color w:val="000000"/>
                <w:szCs w:val="21"/>
              </w:rPr>
              <w:t xml:space="preserve">1</w:t>
            </w:r>
            <w:r>
              <w:rPr>
                <w:rFonts w:hint="eastAsia" w:ascii="Times New Roman" w:hAnsi="Times New Roman" w:eastAsia="宋体" w:cs="Times New Roman"/>
                <w:color w:val="000000"/>
                <w:szCs w:val="21"/>
              </w:rPr>
              <w:t xml:space="preserve">分，最多5分，不演示不得分。</w:t>
            </w:r>
            <w:r/>
          </w:p>
          <w:p>
            <w:pP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w:t>
            </w:r>
            <w:r>
              <w:rPr>
                <w:rFonts w:hint="eastAsia" w:ascii="Times New Roman" w:hAnsi="Times New Roman" w:eastAsia="宋体" w:cs="Times New Roman"/>
                <w:color w:val="000000"/>
                <w:szCs w:val="21"/>
              </w:rPr>
              <w:t xml:space="preserve">演示数据分类分级功能：</w:t>
            </w:r>
            <w:r/>
          </w:p>
          <w:p>
            <w:pP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w:t>
            </w:r>
            <w:r>
              <w:rPr>
                <w:rFonts w:ascii="Times New Roman" w:hAnsi="Times New Roman" w:eastAsia="宋体" w:cs="Times New Roman"/>
                <w:color w:val="000000"/>
                <w:szCs w:val="21"/>
              </w:rPr>
              <w:t xml:space="preserve">1</w:t>
            </w:r>
            <w:r>
              <w:rPr>
                <w:rFonts w:hint="eastAsia" w:ascii="Times New Roman" w:hAnsi="Times New Roman" w:eastAsia="宋体" w:cs="Times New Roman"/>
                <w:color w:val="000000"/>
                <w:szCs w:val="21"/>
              </w:rPr>
              <w:t xml:space="preserve">）工具支持</w:t>
            </w:r>
            <w:r>
              <w:rPr>
                <w:rFonts w:ascii="Times New Roman" w:hAnsi="Times New Roman" w:eastAsia="宋体" w:cs="Times New Roman"/>
                <w:color w:val="000000"/>
                <w:szCs w:val="21"/>
              </w:rPr>
              <w:t xml:space="preserve">Oracle</w:t>
            </w:r>
            <w:r>
              <w:rPr>
                <w:rFonts w:hint="eastAsia" w:ascii="Times New Roman" w:hAnsi="Times New Roman" w:eastAsia="宋体" w:cs="Times New Roman"/>
                <w:color w:val="000000"/>
                <w:szCs w:val="21"/>
              </w:rPr>
              <w:t xml:space="preserve">、</w:t>
            </w:r>
            <w:r>
              <w:rPr>
                <w:rFonts w:ascii="Times New Roman" w:hAnsi="Times New Roman" w:eastAsia="宋体" w:cs="Times New Roman"/>
                <w:color w:val="000000"/>
                <w:szCs w:val="21"/>
              </w:rPr>
              <w:t xml:space="preserve">SQLServer</w:t>
            </w:r>
            <w:r>
              <w:rPr>
                <w:rFonts w:hint="eastAsia" w:ascii="Times New Roman" w:hAnsi="Times New Roman" w:eastAsia="宋体" w:cs="Times New Roman"/>
                <w:color w:val="000000"/>
                <w:szCs w:val="21"/>
              </w:rPr>
              <w:t xml:space="preserve">、</w:t>
            </w:r>
            <w:r>
              <w:rPr>
                <w:rFonts w:ascii="Times New Roman" w:hAnsi="Times New Roman" w:eastAsia="宋体" w:cs="Times New Roman"/>
                <w:color w:val="000000"/>
                <w:szCs w:val="21"/>
              </w:rPr>
              <w:t xml:space="preserve">MySQL</w:t>
            </w:r>
            <w:r>
              <w:rPr>
                <w:rFonts w:hint="eastAsia" w:ascii="Times New Roman" w:hAnsi="Times New Roman" w:eastAsia="宋体" w:cs="Times New Roman"/>
                <w:color w:val="000000"/>
                <w:szCs w:val="21"/>
              </w:rPr>
              <w:t xml:space="preserve">、</w:t>
            </w:r>
            <w:r>
              <w:rPr>
                <w:rFonts w:ascii="Times New Roman" w:hAnsi="Times New Roman" w:eastAsia="宋体" w:cs="Times New Roman"/>
                <w:color w:val="000000"/>
                <w:szCs w:val="21"/>
              </w:rPr>
              <w:t xml:space="preserve">Sybase</w:t>
            </w:r>
            <w:r>
              <w:rPr>
                <w:rFonts w:hint="eastAsia" w:ascii="Times New Roman" w:hAnsi="Times New Roman" w:eastAsia="宋体" w:cs="Times New Roman"/>
                <w:color w:val="000000"/>
                <w:szCs w:val="21"/>
              </w:rPr>
              <w:t xml:space="preserve">、</w:t>
            </w:r>
            <w:r>
              <w:rPr>
                <w:rFonts w:ascii="Times New Roman" w:hAnsi="Times New Roman" w:eastAsia="宋体" w:cs="Times New Roman"/>
                <w:color w:val="000000"/>
                <w:szCs w:val="21"/>
              </w:rPr>
              <w:t xml:space="preserve">DB2</w:t>
            </w:r>
            <w:r>
              <w:rPr>
                <w:rFonts w:hint="eastAsia" w:ascii="Times New Roman" w:hAnsi="Times New Roman" w:eastAsia="宋体" w:cs="Times New Roman"/>
                <w:color w:val="000000"/>
                <w:szCs w:val="21"/>
              </w:rPr>
              <w:t xml:space="preserve">等主流数据库类型以及主流国产数据库和</w:t>
            </w:r>
            <w:r>
              <w:rPr>
                <w:rFonts w:ascii="Times New Roman" w:hAnsi="Times New Roman" w:eastAsia="宋体" w:cs="Times New Roman"/>
                <w:color w:val="000000"/>
                <w:szCs w:val="21"/>
              </w:rPr>
              <w:t xml:space="preserve">Hive</w:t>
            </w:r>
            <w:r>
              <w:rPr>
                <w:rFonts w:hint="eastAsia" w:ascii="Times New Roman" w:hAnsi="Times New Roman" w:eastAsia="宋体" w:cs="Times New Roman"/>
                <w:color w:val="000000"/>
                <w:szCs w:val="21"/>
              </w:rPr>
              <w:t xml:space="preserve">、</w:t>
            </w:r>
            <w:r>
              <w:rPr>
                <w:rFonts w:ascii="Times New Roman" w:hAnsi="Times New Roman" w:eastAsia="宋体" w:cs="Times New Roman"/>
                <w:color w:val="000000"/>
                <w:szCs w:val="21"/>
              </w:rPr>
              <w:t xml:space="preserve">HBase</w:t>
            </w:r>
            <w:r>
              <w:rPr>
                <w:rFonts w:hint="eastAsia" w:ascii="Times New Roman" w:hAnsi="Times New Roman" w:eastAsia="宋体" w:cs="Times New Roman"/>
                <w:color w:val="000000"/>
                <w:szCs w:val="21"/>
              </w:rPr>
              <w:t xml:space="preserve">、</w:t>
            </w:r>
            <w:r>
              <w:rPr>
                <w:rFonts w:ascii="Times New Roman" w:hAnsi="Times New Roman" w:eastAsia="宋体" w:cs="Times New Roman"/>
                <w:color w:val="000000"/>
                <w:szCs w:val="21"/>
              </w:rPr>
              <w:t xml:space="preserve">HDFS</w:t>
            </w:r>
            <w:r>
              <w:rPr>
                <w:rFonts w:hint="eastAsia" w:ascii="Times New Roman" w:hAnsi="Times New Roman" w:eastAsia="宋体" w:cs="Times New Roman"/>
                <w:color w:val="000000"/>
                <w:szCs w:val="21"/>
              </w:rPr>
              <w:t xml:space="preserve">、</w:t>
            </w:r>
            <w:r>
              <w:rPr>
                <w:rFonts w:ascii="Times New Roman" w:hAnsi="Times New Roman" w:eastAsia="宋体" w:cs="Times New Roman"/>
                <w:color w:val="000000"/>
                <w:szCs w:val="21"/>
              </w:rPr>
              <w:t xml:space="preserve">Teradata</w:t>
            </w:r>
            <w:r>
              <w:rPr>
                <w:rFonts w:hint="eastAsia" w:ascii="Times New Roman" w:hAnsi="Times New Roman" w:eastAsia="宋体" w:cs="Times New Roman"/>
                <w:color w:val="000000"/>
                <w:szCs w:val="21"/>
              </w:rPr>
              <w:t xml:space="preserve">、</w:t>
            </w:r>
            <w:r>
              <w:rPr>
                <w:rFonts w:ascii="Times New Roman" w:hAnsi="Times New Roman" w:eastAsia="宋体" w:cs="Times New Roman"/>
                <w:color w:val="000000"/>
                <w:szCs w:val="21"/>
              </w:rPr>
              <w:t xml:space="preserve">kudu</w:t>
            </w:r>
            <w:r>
              <w:rPr>
                <w:rFonts w:hint="eastAsia" w:ascii="Times New Roman" w:hAnsi="Times New Roman" w:eastAsia="宋体" w:cs="Times New Roman"/>
                <w:color w:val="000000"/>
                <w:szCs w:val="21"/>
              </w:rPr>
              <w:t xml:space="preserve">等大数据关键组件；</w:t>
            </w:r>
            <w:r/>
          </w:p>
          <w:p>
            <w:pP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w:t>
            </w:r>
            <w:r>
              <w:rPr>
                <w:rFonts w:ascii="Times New Roman" w:hAnsi="Times New Roman" w:eastAsia="宋体" w:cs="Times New Roman"/>
                <w:color w:val="000000"/>
                <w:szCs w:val="21"/>
              </w:rPr>
              <w:t xml:space="preserve">2</w:t>
            </w:r>
            <w:r>
              <w:rPr>
                <w:rFonts w:hint="eastAsia" w:ascii="Times New Roman" w:hAnsi="Times New Roman" w:eastAsia="宋体" w:cs="Times New Roman"/>
                <w:color w:val="000000"/>
                <w:szCs w:val="21"/>
              </w:rPr>
              <w:t xml:space="preserve">）支持内置敏感数据模板；</w:t>
            </w:r>
            <w:r/>
          </w:p>
          <w:p>
            <w:pP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w:t>
            </w:r>
            <w:r>
              <w:rPr>
                <w:rFonts w:ascii="Times New Roman" w:hAnsi="Times New Roman" w:eastAsia="宋体" w:cs="Times New Roman"/>
                <w:color w:val="000000"/>
                <w:szCs w:val="21"/>
              </w:rPr>
              <w:t xml:space="preserve">3</w:t>
            </w:r>
            <w:r>
              <w:rPr>
                <w:rFonts w:hint="eastAsia" w:ascii="Times New Roman" w:hAnsi="Times New Roman" w:eastAsia="宋体" w:cs="Times New Roman"/>
                <w:color w:val="000000"/>
                <w:szCs w:val="21"/>
              </w:rPr>
              <w:t xml:space="preserve">）支持敏感数据类型和特征的自定义添加和维护；</w:t>
            </w:r>
            <w:r/>
          </w:p>
          <w:p>
            <w:pP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w:t>
            </w:r>
            <w:r>
              <w:rPr>
                <w:rFonts w:ascii="Times New Roman" w:hAnsi="Times New Roman" w:eastAsia="宋体" w:cs="Times New Roman"/>
                <w:color w:val="000000"/>
                <w:szCs w:val="21"/>
              </w:rPr>
              <w:t xml:space="preserve">4</w:t>
            </w:r>
            <w:r>
              <w:rPr>
                <w:rFonts w:hint="eastAsia" w:ascii="Times New Roman" w:hAnsi="Times New Roman" w:eastAsia="宋体" w:cs="Times New Roman"/>
                <w:color w:val="000000"/>
                <w:szCs w:val="21"/>
              </w:rPr>
              <w:t xml:space="preserve">）演示敏感数据分级分类策略管理能力，包括创建、删除、修改等操作；</w:t>
            </w:r>
            <w:r/>
          </w:p>
          <w:p>
            <w:pP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w:t>
            </w:r>
            <w:r>
              <w:rPr>
                <w:rFonts w:ascii="Times New Roman" w:hAnsi="Times New Roman" w:eastAsia="宋体" w:cs="Times New Roman"/>
                <w:color w:val="000000"/>
                <w:szCs w:val="21"/>
              </w:rPr>
              <w:t xml:space="preserve">5</w:t>
            </w:r>
            <w:r>
              <w:rPr>
                <w:rFonts w:hint="eastAsia" w:ascii="Times New Roman" w:hAnsi="Times New Roman" w:eastAsia="宋体" w:cs="Times New Roman"/>
                <w:color w:val="000000"/>
                <w:szCs w:val="21"/>
              </w:rPr>
              <w:t xml:space="preserve">）支持按照模板进行数据自动化分类分级；</w:t>
            </w:r>
            <w:r/>
          </w:p>
          <w:p>
            <w:pP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w:t>
            </w:r>
            <w:r>
              <w:rPr>
                <w:rFonts w:ascii="Times New Roman" w:hAnsi="Times New Roman" w:eastAsia="宋体" w:cs="Times New Roman"/>
                <w:color w:val="000000"/>
                <w:szCs w:val="21"/>
              </w:rPr>
              <w:t xml:space="preserve">6</w:t>
            </w:r>
            <w:r>
              <w:rPr>
                <w:rFonts w:hint="eastAsia" w:ascii="Times New Roman" w:hAnsi="Times New Roman" w:eastAsia="宋体" w:cs="Times New Roman"/>
                <w:color w:val="000000"/>
                <w:szCs w:val="21"/>
              </w:rPr>
              <w:t xml:space="preserve">）支持通过打造分类分级智能体，进行智能化字段、表分类分级能力。</w:t>
            </w:r>
            <w:r/>
          </w:p>
          <w:p>
            <w:pP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每演示一个功能项得</w:t>
            </w:r>
            <w:r>
              <w:rPr>
                <w:rFonts w:ascii="Times New Roman" w:hAnsi="Times New Roman" w:eastAsia="宋体" w:cs="Times New Roman"/>
                <w:color w:val="000000"/>
                <w:szCs w:val="21"/>
              </w:rPr>
              <w:t xml:space="preserve">1</w:t>
            </w:r>
            <w:r>
              <w:rPr>
                <w:rFonts w:hint="eastAsia" w:ascii="Times New Roman" w:hAnsi="Times New Roman" w:eastAsia="宋体" w:cs="Times New Roman"/>
                <w:color w:val="000000"/>
                <w:szCs w:val="21"/>
              </w:rPr>
              <w:t xml:space="preserve">分</w:t>
            </w:r>
            <w:r>
              <w:rPr>
                <w:rFonts w:ascii="Times New Roman" w:hAnsi="Times New Roman" w:eastAsia="宋体" w:cs="Times New Roman"/>
                <w:color w:val="000000"/>
                <w:szCs w:val="21"/>
              </w:rPr>
              <w:t xml:space="preserve">,</w:t>
            </w:r>
            <w:r>
              <w:rPr>
                <w:rFonts w:hint="eastAsia" w:ascii="Times New Roman" w:hAnsi="Times New Roman" w:eastAsia="宋体" w:cs="Times New Roman"/>
                <w:color w:val="000000"/>
                <w:szCs w:val="21"/>
              </w:rPr>
              <w:t xml:space="preserve">最多</w:t>
            </w:r>
            <w:r>
              <w:rPr>
                <w:rFonts w:ascii="Times New Roman" w:hAnsi="Times New Roman" w:eastAsia="宋体" w:cs="Times New Roman"/>
                <w:color w:val="000000"/>
                <w:szCs w:val="21"/>
              </w:rPr>
              <w:t xml:space="preserve">6</w:t>
            </w:r>
            <w:r>
              <w:rPr>
                <w:rFonts w:hint="eastAsia" w:ascii="Times New Roman" w:hAnsi="Times New Roman" w:eastAsia="宋体" w:cs="Times New Roman"/>
                <w:color w:val="000000"/>
                <w:szCs w:val="21"/>
              </w:rPr>
              <w:t xml:space="preserve">分，不演示不得分。</w:t>
            </w:r>
            <w:r/>
          </w:p>
          <w:p>
            <w:pP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3.</w:t>
            </w:r>
            <w:r>
              <w:rPr>
                <w:rFonts w:hint="eastAsia" w:ascii="Times New Roman" w:hAnsi="Times New Roman" w:eastAsia="宋体" w:cs="Times New Roman"/>
                <w:color w:val="000000"/>
                <w:szCs w:val="21"/>
              </w:rPr>
              <w:t xml:space="preserve">演示数据水印功能：</w:t>
            </w:r>
            <w:r/>
          </w:p>
          <w:p>
            <w:pPr>
              <w:numPr>
                <w:ilvl w:val="0"/>
                <w:numId w:val="7"/>
              </w:numP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演示数据溯源和文件溯源两种方式，一旦发生数据泄露，可手动导入文件形式溯源精准溯源到操作数据用户身份和渠道；</w:t>
            </w:r>
            <w:r/>
          </w:p>
          <w:p>
            <w:pP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w:t>
            </w:r>
            <w:r>
              <w:rPr>
                <w:rFonts w:ascii="Times New Roman" w:hAnsi="Times New Roman" w:eastAsia="宋体" w:cs="Times New Roman"/>
                <w:color w:val="000000"/>
                <w:szCs w:val="21"/>
              </w:rPr>
              <w:t xml:space="preserve">2</w:t>
            </w:r>
            <w:r>
              <w:rPr>
                <w:rFonts w:hint="eastAsia" w:ascii="Times New Roman" w:hAnsi="Times New Roman" w:eastAsia="宋体" w:cs="Times New Roman"/>
                <w:color w:val="000000"/>
                <w:szCs w:val="21"/>
              </w:rPr>
              <w:t xml:space="preserve">）演示具备独立的水印生成列表记录，包括源资产、源模式、源表、目标资产、目标文件、使用单位、使用人、用途、时间等，支持多维度检索，方便查询溯源结果，提高数据共享使用中的安全性和可追溯能力；</w:t>
            </w:r>
            <w:r/>
          </w:p>
          <w:p>
            <w:pP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w:t>
            </w:r>
            <w:r>
              <w:rPr>
                <w:rFonts w:ascii="Times New Roman" w:hAnsi="Times New Roman" w:eastAsia="宋体" w:cs="Times New Roman"/>
                <w:color w:val="000000"/>
                <w:szCs w:val="21"/>
              </w:rPr>
              <w:t xml:space="preserve">3</w:t>
            </w:r>
            <w:r>
              <w:rPr>
                <w:rFonts w:hint="eastAsia" w:ascii="Times New Roman" w:hAnsi="Times New Roman" w:eastAsia="宋体" w:cs="Times New Roman"/>
                <w:color w:val="000000"/>
                <w:szCs w:val="21"/>
              </w:rPr>
              <w:t xml:space="preserve">）演示水印方案能力，支持添加和编辑数据水印信息，添加水印信息可在数据水印任务模块调用；</w:t>
            </w:r>
            <w:r/>
          </w:p>
          <w:p>
            <w:pP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w:t>
            </w:r>
            <w:r>
              <w:rPr>
                <w:rFonts w:ascii="Times New Roman" w:hAnsi="Times New Roman" w:eastAsia="宋体" w:cs="Times New Roman"/>
                <w:color w:val="000000"/>
                <w:szCs w:val="21"/>
              </w:rPr>
              <w:t xml:space="preserve">4</w:t>
            </w:r>
            <w:r>
              <w:rPr>
                <w:rFonts w:hint="eastAsia" w:ascii="Times New Roman" w:hAnsi="Times New Roman" w:eastAsia="宋体" w:cs="Times New Roman"/>
                <w:color w:val="000000"/>
                <w:szCs w:val="21"/>
              </w:rPr>
              <w:t xml:space="preserve">）支持添加多节点水印信息，可通过水印回溯数据传输路径。</w:t>
            </w:r>
            <w:r/>
          </w:p>
          <w:p>
            <w:pP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每演示一个功能项得</w:t>
            </w:r>
            <w:r>
              <w:rPr>
                <w:rFonts w:ascii="Times New Roman" w:hAnsi="Times New Roman" w:eastAsia="宋体" w:cs="Times New Roman"/>
                <w:color w:val="000000"/>
                <w:szCs w:val="21"/>
              </w:rPr>
              <w:t xml:space="preserve">1</w:t>
            </w:r>
            <w:r>
              <w:rPr>
                <w:rFonts w:hint="eastAsia" w:ascii="Times New Roman" w:hAnsi="Times New Roman" w:eastAsia="宋体" w:cs="Times New Roman"/>
                <w:color w:val="000000"/>
                <w:szCs w:val="21"/>
              </w:rPr>
              <w:t xml:space="preserve">分，最多</w:t>
            </w:r>
            <w:r>
              <w:rPr>
                <w:rFonts w:ascii="Times New Roman" w:hAnsi="Times New Roman" w:eastAsia="宋体" w:cs="Times New Roman"/>
                <w:color w:val="000000"/>
                <w:szCs w:val="21"/>
              </w:rPr>
              <w:t xml:space="preserve">4</w:t>
            </w:r>
            <w:r>
              <w:rPr>
                <w:rFonts w:hint="eastAsia" w:ascii="Times New Roman" w:hAnsi="Times New Roman" w:eastAsia="宋体" w:cs="Times New Roman"/>
                <w:color w:val="000000"/>
                <w:szCs w:val="21"/>
              </w:rPr>
              <w:t xml:space="preserve">分，不演示不得分。</w:t>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投标人需按照以下要求提供系统</w:t>
            </w:r>
            <w:r>
              <w:rPr>
                <w:rFonts w:hint="eastAsia" w:ascii="Times New Roman" w:hAnsi="Times New Roman" w:eastAsia="宋体" w:cs="Times New Roman"/>
                <w:color w:val="000000"/>
                <w:szCs w:val="21"/>
              </w:rPr>
              <w:t xml:space="preserve">或Demo</w:t>
            </w:r>
            <w:r>
              <w:rPr>
                <w:rFonts w:ascii="Times New Roman" w:hAnsi="Times New Roman" w:eastAsia="宋体" w:cs="Times New Roman"/>
                <w:color w:val="000000"/>
                <w:szCs w:val="21"/>
              </w:rPr>
              <w:t xml:space="preserve">演示视频文件：视频文件的格式为*.mp4或*.avi，投标人须将视频文件分段压缩为*.zip文件上传（单个文件不得大于50M，所有文件总共不得大于</w:t>
            </w:r>
            <w:r>
              <w:rPr>
                <w:rFonts w:hint="eastAsia" w:ascii="Times New Roman" w:hAnsi="Times New Roman" w:eastAsia="宋体" w:cs="Times New Roman"/>
                <w:color w:val="000000"/>
                <w:szCs w:val="21"/>
              </w:rPr>
              <w:t xml:space="preserve">300</w:t>
            </w:r>
            <w:r>
              <w:rPr>
                <w:rFonts w:ascii="Times New Roman" w:hAnsi="Times New Roman" w:eastAsia="宋体" w:cs="Times New Roman"/>
                <w:color w:val="000000"/>
                <w:szCs w:val="21"/>
              </w:rPr>
              <w:t xml:space="preserve">M）。须使用真实的应用系统</w:t>
            </w:r>
            <w:r>
              <w:rPr>
                <w:rFonts w:hint="eastAsia" w:ascii="Times New Roman" w:hAnsi="Times New Roman" w:eastAsia="宋体" w:cs="Times New Roman"/>
                <w:color w:val="000000"/>
                <w:szCs w:val="21"/>
              </w:rPr>
              <w:t xml:space="preserve">或Demo演示</w:t>
            </w:r>
            <w:r>
              <w:rPr>
                <w:rFonts w:ascii="Times New Roman" w:hAnsi="Times New Roman" w:eastAsia="宋体" w:cs="Times New Roman"/>
                <w:color w:val="000000"/>
                <w:szCs w:val="21"/>
              </w:rPr>
              <w:t xml:space="preserve">，根据演示内容的</w:t>
            </w:r>
            <w:r>
              <w:rPr>
                <w:rFonts w:hint="eastAsia" w:ascii="Times New Roman" w:hAnsi="Times New Roman" w:eastAsia="宋体" w:cs="Times New Roman"/>
                <w:color w:val="000000"/>
                <w:szCs w:val="21"/>
              </w:rPr>
              <w:t xml:space="preserve">采购需求符合性、</w:t>
            </w:r>
            <w:r>
              <w:rPr>
                <w:rFonts w:ascii="Times New Roman" w:hAnsi="Times New Roman" w:eastAsia="宋体" w:cs="Times New Roman"/>
                <w:color w:val="000000"/>
                <w:szCs w:val="21"/>
              </w:rPr>
              <w:t xml:space="preserve">功能完整性、整体集成性、操作简便性、效果流畅性等进行评分。如使用图片、静态网页、PPT</w:t>
            </w:r>
            <w:r>
              <w:rPr>
                <w:rFonts w:hint="eastAsia" w:ascii="Times New Roman" w:hAnsi="Times New Roman" w:eastAsia="宋体" w:cs="Times New Roman"/>
                <w:color w:val="000000"/>
                <w:szCs w:val="21"/>
              </w:rPr>
              <w:t xml:space="preserve">（</w:t>
            </w:r>
            <w:r>
              <w:rPr>
                <w:rFonts w:ascii="Times New Roman" w:hAnsi="Times New Roman" w:eastAsia="宋体" w:cs="Times New Roman"/>
                <w:color w:val="000000"/>
                <w:szCs w:val="21"/>
              </w:rPr>
              <w:t xml:space="preserve">演示数据无交互、演示数据无关联、演示成果无展示）等其他方式演示最多得</w:t>
            </w:r>
            <w:r>
              <w:rPr>
                <w:rFonts w:hint="eastAsia" w:ascii="Times New Roman" w:hAnsi="Times New Roman" w:eastAsia="宋体" w:cs="Times New Roman"/>
                <w:color w:val="000000"/>
                <w:szCs w:val="21"/>
              </w:rPr>
              <w:t xml:space="preserve">7.5</w:t>
            </w:r>
            <w:r>
              <w:rPr>
                <w:rFonts w:ascii="Times New Roman" w:hAnsi="Times New Roman" w:eastAsia="宋体" w:cs="Times New Roman"/>
                <w:color w:val="000000"/>
                <w:szCs w:val="21"/>
              </w:rPr>
              <w:t xml:space="preserve">分。录屏时长不超过20分钟。</w:t>
            </w:r>
            <w:r/>
          </w:p>
        </w:tc>
        <w:tc>
          <w:tcPr>
            <w:tcBorders>
              <w:top w:val="single" w:color="auto" w:sz="4" w:space="0"/>
              <w:left w:val="single" w:color="auto" w:sz="4" w:space="0"/>
              <w:bottom w:val="single" w:color="auto" w:sz="4" w:space="0"/>
              <w:right w:val="single" w:color="auto" w:sz="4" w:space="0"/>
            </w:tcBorders>
            <w:tcW w:w="337" w:type="pct"/>
            <w:vAlign w:val="center"/>
            <w:textDirection w:val="lrTb"/>
            <w:noWrap w:val="false"/>
          </w:tcPr>
          <w:p>
            <w:pPr>
              <w:jc w:val="center"/>
              <w:rPr>
                <w:rFonts w:ascii="Times New Roman" w:hAnsi="Times New Roman" w:eastAsia="宋体"/>
                <w:color w:val="000000"/>
                <w:szCs w:val="21"/>
              </w:rPr>
            </w:pPr>
            <w:r>
              <w:rPr>
                <w:rFonts w:ascii="Times New Roman" w:hAnsi="Times New Roman" w:eastAsia="宋体"/>
                <w:color w:val="000000"/>
                <w:szCs w:val="21"/>
                <w:lang w:bidi="ar"/>
              </w:rPr>
              <w:t xml:space="preserve">15</w:t>
            </w:r>
            <w:r/>
          </w:p>
        </w:tc>
      </w:tr>
    </w:tbl>
    <w:p>
      <w:pPr>
        <w:ind w:firstLine="482"/>
        <w:jc w:val="left"/>
        <w:spacing w:line="560" w:lineRule="exact"/>
        <w:widowControl/>
        <w:rPr>
          <w:rFonts w:ascii="Times New Roman" w:hAnsi="Times New Roman" w:eastAsia="宋体" w:cs="Times New Roman"/>
          <w:b/>
          <w:bCs/>
          <w:sz w:val="24"/>
          <w:szCs w:val="20"/>
          <w:lang w:bidi="ar"/>
        </w:rPr>
        <w:sectPr>
          <w:footnotePr/>
          <w:endnotePr/>
          <w:type w:val="nextPage"/>
          <w:pgSz w:w="11906" w:h="16838" w:orient="portrait"/>
          <w:pgMar w:top="1440" w:right="1633" w:bottom="1440" w:left="1633" w:header="737" w:footer="1134" w:gutter="0"/>
          <w:cols w:num="1" w:sep="0" w:space="425" w:equalWidth="1"/>
          <w:docGrid w:linePitch="360"/>
          <w:titlePg/>
        </w:sectPr>
        <w:outlineLvl w:val="2"/>
      </w:pPr>
      <w:r>
        <w:rPr>
          <w:rFonts w:ascii="Times New Roman" w:hAnsi="Times New Roman" w:eastAsia="宋体" w:cs="Times New Roman"/>
          <w:b/>
          <w:bCs/>
          <w:sz w:val="24"/>
          <w:szCs w:val="20"/>
          <w:lang w:bidi="ar"/>
        </w:rPr>
      </w:r>
      <w:r/>
    </w:p>
    <w:p>
      <w:pPr>
        <w:ind w:firstLine="482"/>
        <w:jc w:val="left"/>
        <w:spacing w:line="560" w:lineRule="exact"/>
        <w:widowControl/>
        <w:rPr>
          <w:rFonts w:ascii="Times New Roman" w:hAnsi="Times New Roman" w:eastAsia="Arial" w:cs="Times New Roman"/>
          <w:b/>
          <w:bCs/>
          <w:sz w:val="24"/>
          <w:szCs w:val="20"/>
        </w:rPr>
        <w:outlineLvl w:val="2"/>
      </w:pPr>
      <w:r>
        <w:rPr>
          <w:rFonts w:hint="eastAsia" w:ascii="Times New Roman" w:hAnsi="Times New Roman" w:eastAsia="宋体" w:cs="Times New Roman"/>
          <w:b/>
          <w:bCs/>
          <w:sz w:val="24"/>
          <w:szCs w:val="20"/>
          <w:lang w:bidi="ar"/>
        </w:rPr>
        <w:t xml:space="preserve">分包三：全过程项目咨询和管理服务</w:t>
      </w:r>
      <w:r/>
    </w:p>
    <w:p>
      <w:pPr>
        <w:ind w:firstLine="482"/>
        <w:jc w:val="left"/>
        <w:spacing w:line="560" w:lineRule="exact"/>
        <w:widowControl/>
        <w:rPr>
          <w:rFonts w:ascii="Times New Roman" w:hAnsi="Times New Roman" w:eastAsia="宋体" w:cs="Times New Roman"/>
          <w:color w:val="000000"/>
          <w:szCs w:val="21"/>
        </w:rPr>
      </w:pPr>
      <w:r>
        <w:rPr>
          <w:rFonts w:ascii="Times New Roman" w:hAnsi="Times New Roman" w:eastAsia="Arial" w:cs="Times New Roman"/>
          <w:sz w:val="24"/>
          <w:szCs w:val="20"/>
          <w:lang w:bidi="ar"/>
        </w:rPr>
        <w:t xml:space="preserve">本项目评分总分值为100分。</w:t>
      </w:r>
      <w:r/>
    </w:p>
    <w:tbl>
      <w:tblPr>
        <w:tblStyle w:val="7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1309"/>
        <w:gridCol w:w="5820"/>
        <w:gridCol w:w="859"/>
      </w:tblGrid>
      <w:tr>
        <w:trPr>
          <w:trHeight w:val="510"/>
          <w:tblHeader/>
        </w:trPr>
        <w:tc>
          <w:tcPr>
            <w:tcBorders>
              <w:top w:val="single" w:color="auto" w:sz="4" w:space="0"/>
              <w:left w:val="single" w:color="auto" w:sz="4" w:space="0"/>
              <w:bottom w:val="single" w:color="auto" w:sz="4" w:space="0"/>
              <w:right w:val="single" w:color="auto" w:sz="4" w:space="0"/>
            </w:tcBorders>
            <w:tcW w:w="490" w:type="pct"/>
            <w:vAlign w:val="center"/>
            <w:textDirection w:val="lrTb"/>
            <w:noWrap w:val="false"/>
          </w:tcPr>
          <w:p>
            <w:pPr>
              <w:jc w:val="center"/>
              <w:widowControl/>
              <w:rPr>
                <w:rFonts w:ascii="Times New Roman" w:hAnsi="Times New Roman" w:cs="Times New Roman"/>
                <w:b/>
                <w:bCs/>
                <w:sz w:val="24"/>
              </w:rPr>
            </w:pPr>
            <w:r>
              <w:rPr>
                <w:rFonts w:hint="eastAsia" w:ascii="Times New Roman" w:hAnsi="Times New Roman" w:eastAsia="宋体" w:cs="Times New Roman"/>
                <w:b/>
                <w:bCs/>
                <w:sz w:val="24"/>
                <w:lang w:bidi="ar"/>
              </w:rPr>
              <w:t xml:space="preserve">序号</w:t>
            </w:r>
            <w:r/>
          </w:p>
        </w:tc>
        <w:tc>
          <w:tcPr>
            <w:tcBorders>
              <w:top w:val="single" w:color="auto" w:sz="4" w:space="0"/>
              <w:left w:val="single" w:color="auto" w:sz="4" w:space="0"/>
              <w:bottom w:val="single" w:color="auto" w:sz="4" w:space="0"/>
              <w:right w:val="single" w:color="auto" w:sz="4" w:space="0"/>
            </w:tcBorders>
            <w:tcW w:w="739" w:type="pct"/>
            <w:vAlign w:val="center"/>
            <w:textDirection w:val="lrTb"/>
            <w:noWrap w:val="false"/>
          </w:tcPr>
          <w:p>
            <w:pPr>
              <w:jc w:val="center"/>
              <w:widowControl/>
              <w:rPr>
                <w:rFonts w:ascii="Times New Roman" w:hAnsi="Times New Roman" w:cs="Times New Roman"/>
                <w:b/>
                <w:bCs/>
                <w:sz w:val="24"/>
              </w:rPr>
            </w:pPr>
            <w:r>
              <w:rPr>
                <w:rFonts w:hint="eastAsia" w:ascii="Times New Roman" w:hAnsi="Times New Roman" w:eastAsia="宋体" w:cs="Times New Roman"/>
                <w:b/>
                <w:bCs/>
                <w:sz w:val="24"/>
                <w:lang w:bidi="ar"/>
              </w:rPr>
              <w:t xml:space="preserve">评分项目</w:t>
            </w:r>
            <w:r/>
          </w:p>
        </w:tc>
        <w:tc>
          <w:tcPr>
            <w:tcBorders>
              <w:top w:val="single" w:color="auto" w:sz="4" w:space="0"/>
              <w:left w:val="single" w:color="auto" w:sz="4" w:space="0"/>
              <w:bottom w:val="single" w:color="auto" w:sz="4" w:space="0"/>
              <w:right w:val="single" w:color="auto" w:sz="4" w:space="0"/>
            </w:tcBorders>
            <w:tcW w:w="3286" w:type="pct"/>
            <w:vAlign w:val="center"/>
            <w:textDirection w:val="lrTb"/>
            <w:noWrap w:val="false"/>
          </w:tcPr>
          <w:p>
            <w:pPr>
              <w:jc w:val="center"/>
              <w:widowControl/>
              <w:rPr>
                <w:rFonts w:ascii="Times New Roman" w:hAnsi="Times New Roman" w:cs="Times New Roman"/>
                <w:b/>
                <w:bCs/>
                <w:sz w:val="24"/>
              </w:rPr>
            </w:pPr>
            <w:r>
              <w:rPr>
                <w:rFonts w:hint="eastAsia" w:ascii="Times New Roman" w:hAnsi="Times New Roman" w:eastAsia="宋体" w:cs="Times New Roman"/>
                <w:b/>
                <w:bCs/>
                <w:sz w:val="24"/>
                <w:lang w:bidi="ar"/>
              </w:rPr>
              <w:t xml:space="preserve">评分办法</w:t>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widowControl/>
              <w:rPr>
                <w:rFonts w:ascii="Times New Roman" w:hAnsi="Times New Roman" w:cs="Times New Roman"/>
                <w:b/>
                <w:bCs/>
                <w:sz w:val="24"/>
              </w:rPr>
            </w:pPr>
            <w:r>
              <w:rPr>
                <w:rFonts w:hint="eastAsia" w:ascii="Times New Roman" w:hAnsi="Times New Roman" w:eastAsia="宋体" w:cs="Times New Roman"/>
                <w:b/>
                <w:bCs/>
                <w:sz w:val="24"/>
                <w:lang w:bidi="ar"/>
              </w:rPr>
              <w:t xml:space="preserve">分值</w:t>
            </w:r>
            <w:r/>
          </w:p>
        </w:tc>
      </w:tr>
      <w:tr>
        <w:trPr>
          <w:trHeight w:val="1408"/>
        </w:trPr>
        <w:tc>
          <w:tcPr>
            <w:tcBorders>
              <w:top w:val="single" w:color="auto" w:sz="4" w:space="0"/>
              <w:left w:val="single" w:color="auto" w:sz="4" w:space="0"/>
              <w:bottom w:val="single" w:color="auto" w:sz="4" w:space="0"/>
              <w:right w:val="single" w:color="auto" w:sz="4" w:space="0"/>
            </w:tcBorders>
            <w:tcW w:w="490" w:type="pct"/>
            <w:vAlign w:val="center"/>
            <w:textDirection w:val="lrTb"/>
            <w:noWrap w:val="false"/>
          </w:tcPr>
          <w:p>
            <w:pPr>
              <w:jc w:val="center"/>
              <w:widowControl/>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lang w:bidi="ar"/>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739" w:type="pct"/>
            <w:vAlign w:val="center"/>
            <w:textDirection w:val="lrTb"/>
            <w:noWrap w:val="false"/>
          </w:tcPr>
          <w:p>
            <w:pPr>
              <w:jc w:val="center"/>
              <w:widowControl/>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bidi="ar"/>
              </w:rPr>
              <w:t xml:space="preserve">价格</w:t>
            </w:r>
            <w:r>
              <w:rPr>
                <w:color w:val="000000" w:themeColor="text1"/>
              </w:rPr>
            </w:r>
            <w:r/>
          </w:p>
          <w:p>
            <w:pPr>
              <w:jc w:val="center"/>
              <w:widowControl/>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bidi="ar"/>
              </w:rPr>
              <w:t xml:space="preserve">（</w:t>
            </w:r>
            <w:r>
              <w:rPr>
                <w:rFonts w:hint="eastAsia" w:ascii="Times New Roman" w:hAnsi="Times New Roman" w:eastAsia="宋体" w:cs="Times New Roman"/>
                <w:color w:val="000000" w:themeColor="text1"/>
                <w:sz w:val="24"/>
                <w:szCs w:val="24"/>
                <w:lang w:val="en-US" w:eastAsia="zh-CN" w:bidi="ar"/>
              </w:rPr>
              <w:t xml:space="preserve">10</w:t>
            </w:r>
            <w:r>
              <w:rPr>
                <w:rFonts w:hint="eastAsia" w:ascii="Times New Roman" w:hAnsi="Times New Roman" w:eastAsia="宋体" w:cs="Times New Roman"/>
                <w:color w:val="000000" w:themeColor="text1"/>
                <w:sz w:val="24"/>
                <w:szCs w:val="24"/>
                <w:lang w:bidi="ar"/>
              </w:rPr>
              <w:t xml:space="preserve">分）</w:t>
            </w:r>
            <w:r>
              <w:rPr>
                <w:color w:val="000000" w:themeColor="text1"/>
              </w:rPr>
            </w:r>
            <w:r/>
          </w:p>
        </w:tc>
        <w:tc>
          <w:tcPr>
            <w:tcBorders>
              <w:top w:val="single" w:color="auto" w:sz="4" w:space="0"/>
              <w:left w:val="single" w:color="auto" w:sz="4" w:space="0"/>
              <w:bottom w:val="single" w:color="auto" w:sz="4" w:space="0"/>
              <w:right w:val="single" w:color="auto" w:sz="4" w:space="0"/>
            </w:tcBorders>
            <w:tcW w:w="3286" w:type="pct"/>
            <w:vAlign w:val="center"/>
            <w:textDirection w:val="lrTb"/>
            <w:noWrap w:val="false"/>
          </w:tcPr>
          <w:p>
            <w:pPr>
              <w:jc w:val="lef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bidi="ar"/>
              </w:rPr>
              <w:t xml:space="preserve">价格分统一采用低价优先法计算，即满足要求且投标价格最低的投标报价为评标基准价，其价格分为满分。其他投标人的价格分统一按照下列公式计算：投标报价得分</w:t>
            </w:r>
            <w:r>
              <w:rPr>
                <w:rFonts w:ascii="Times New Roman" w:hAnsi="Times New Roman" w:eastAsia="宋体" w:cs="Times New Roman"/>
                <w:color w:val="000000" w:themeColor="text1"/>
                <w:sz w:val="24"/>
                <w:szCs w:val="24"/>
                <w:lang w:bidi="ar"/>
              </w:rPr>
              <w:t xml:space="preserve">=</w:t>
            </w:r>
            <w:r>
              <w:rPr>
                <w:rFonts w:hint="eastAsia" w:ascii="Times New Roman" w:hAnsi="Times New Roman" w:eastAsia="宋体" w:cs="Times New Roman"/>
                <w:color w:val="000000" w:themeColor="text1"/>
                <w:sz w:val="24"/>
                <w:szCs w:val="24"/>
                <w:lang w:bidi="ar"/>
              </w:rPr>
              <w:t xml:space="preserve">（评标基准价</w:t>
            </w:r>
            <w:r>
              <w:rPr>
                <w:rFonts w:ascii="Times New Roman" w:hAnsi="Times New Roman" w:eastAsia="宋体" w:cs="Times New Roman"/>
                <w:color w:val="000000" w:themeColor="text1"/>
                <w:sz w:val="24"/>
                <w:szCs w:val="24"/>
                <w:lang w:bidi="ar"/>
              </w:rPr>
              <w:t xml:space="preserve">/</w:t>
            </w:r>
            <w:r>
              <w:rPr>
                <w:rFonts w:hint="eastAsia" w:ascii="Times New Roman" w:hAnsi="Times New Roman" w:eastAsia="宋体" w:cs="Times New Roman"/>
                <w:color w:val="000000" w:themeColor="text1"/>
                <w:sz w:val="24"/>
                <w:szCs w:val="24"/>
                <w:lang w:bidi="ar"/>
              </w:rPr>
              <w:t xml:space="preserve">投标报价）</w:t>
            </w:r>
            <w:r>
              <w:rPr>
                <w:rFonts w:ascii="Times New Roman" w:hAnsi="Times New Roman" w:eastAsia="宋体" w:cs="Times New Roman"/>
                <w:color w:val="000000" w:themeColor="text1"/>
                <w:sz w:val="24"/>
                <w:szCs w:val="24"/>
                <w:lang w:bidi="ar"/>
              </w:rPr>
              <w:t xml:space="preserve">×</w:t>
            </w:r>
            <w:r>
              <w:rPr>
                <w:rFonts w:hint="eastAsia" w:ascii="Times New Roman" w:hAnsi="Times New Roman" w:eastAsia="宋体" w:cs="Times New Roman"/>
                <w:color w:val="000000" w:themeColor="text1"/>
                <w:sz w:val="24"/>
                <w:szCs w:val="24"/>
                <w:lang w:val="en-US" w:eastAsia="zh-CN" w:bidi="ar"/>
              </w:rPr>
              <w:t xml:space="preserve">10</w:t>
            </w:r>
            <w:r>
              <w:rPr>
                <w:rFonts w:hint="eastAsia" w:ascii="Times New Roman" w:hAnsi="Times New Roman" w:eastAsia="宋体" w:cs="Times New Roman"/>
                <w:color w:val="000000" w:themeColor="text1"/>
                <w:sz w:val="24"/>
                <w:szCs w:val="24"/>
                <w:lang w:bidi="ar"/>
              </w:rPr>
              <w:t xml:space="preserve">，小数点后保留</w:t>
            </w:r>
            <w:r>
              <w:rPr>
                <w:rFonts w:ascii="Times New Roman" w:hAnsi="Times New Roman" w:eastAsia="宋体" w:cs="Times New Roman"/>
                <w:color w:val="000000" w:themeColor="text1"/>
                <w:sz w:val="24"/>
                <w:szCs w:val="24"/>
                <w:lang w:bidi="ar"/>
              </w:rPr>
              <w:t xml:space="preserve">2</w:t>
            </w:r>
            <w:r>
              <w:rPr>
                <w:rFonts w:hint="eastAsia" w:ascii="Times New Roman" w:hAnsi="Times New Roman" w:eastAsia="宋体" w:cs="Times New Roman"/>
                <w:color w:val="000000" w:themeColor="text1"/>
                <w:sz w:val="24"/>
                <w:szCs w:val="24"/>
                <w:lang w:bidi="ar"/>
              </w:rPr>
              <w:t xml:space="preserve">位。</w:t>
            </w:r>
            <w:r>
              <w:rPr>
                <w:color w:val="000000" w:themeColor="text1"/>
              </w:rPr>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widowControl/>
              <w:rPr>
                <w:rFonts w:hint="default"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val="en-US" w:eastAsia="zh-CN" w:bidi="ar"/>
              </w:rPr>
              <w:t xml:space="preserve">10</w:t>
            </w:r>
            <w:r>
              <w:rPr>
                <w:color w:val="000000" w:themeColor="text1"/>
              </w:rPr>
            </w:r>
            <w:r/>
          </w:p>
        </w:tc>
      </w:tr>
      <w:tr>
        <w:trPr>
          <w:trHeight w:val="510"/>
        </w:trPr>
        <w:tc>
          <w:tcPr>
            <w:tcBorders>
              <w:top w:val="single" w:color="auto" w:sz="4" w:space="0"/>
              <w:left w:val="single" w:color="auto" w:sz="4" w:space="0"/>
              <w:bottom w:val="single" w:color="auto" w:sz="4" w:space="0"/>
              <w:right w:val="single" w:color="auto" w:sz="4" w:space="0"/>
            </w:tcBorders>
            <w:tcW w:w="490" w:type="pct"/>
            <w:vAlign w:val="center"/>
            <w:textDirection w:val="lrTb"/>
            <w:noWrap w:val="false"/>
          </w:tcPr>
          <w:p>
            <w:pPr>
              <w:jc w:val="center"/>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739" w:type="pct"/>
            <w:vAlign w:val="center"/>
            <w:textDirection w:val="lrTb"/>
            <w:noWrap w:val="false"/>
          </w:tcPr>
          <w:p>
            <w:pPr>
              <w:jc w:val="center"/>
              <w:widowControl/>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bidi="ar"/>
              </w:rPr>
              <w:t xml:space="preserve">企业实力</w:t>
            </w:r>
            <w:r/>
          </w:p>
          <w:p>
            <w:pPr>
              <w:jc w:val="center"/>
              <w:widowControl/>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bidi="ar"/>
              </w:rPr>
              <w:t xml:space="preserve">（6分）</w:t>
            </w:r>
            <w:r/>
          </w:p>
        </w:tc>
        <w:tc>
          <w:tcPr>
            <w:tcBorders>
              <w:top w:val="single" w:color="auto" w:sz="4" w:space="0"/>
              <w:left w:val="single" w:color="auto" w:sz="4" w:space="0"/>
              <w:bottom w:val="single" w:color="auto" w:sz="4" w:space="0"/>
              <w:right w:val="single" w:color="auto" w:sz="4" w:space="0"/>
            </w:tcBorders>
            <w:tcW w:w="3286" w:type="pct"/>
            <w:vAlign w:val="center"/>
            <w:textDirection w:val="lrTb"/>
            <w:noWrap w:val="false"/>
          </w:tcPr>
          <w:p>
            <w:pPr>
              <w:jc w:val="left"/>
              <w:widowControl/>
              <w:rPr>
                <w:rFonts w:ascii="Times New Roman" w:hAnsi="Times New Roman" w:eastAsia="宋体" w:cs="Times New Roman"/>
                <w:color w:val="000000"/>
                <w:sz w:val="24"/>
                <w:szCs w:val="24"/>
                <w:lang w:bidi="ar"/>
              </w:rPr>
            </w:pPr>
            <w:r>
              <w:rPr>
                <w:rFonts w:hint="eastAsia" w:ascii="Times New Roman" w:hAnsi="Times New Roman" w:eastAsia="宋体" w:cs="Times New Roman"/>
                <w:color w:val="000000"/>
                <w:sz w:val="24"/>
                <w:szCs w:val="24"/>
                <w:lang w:bidi="ar"/>
              </w:rPr>
              <w:t xml:space="preserve">投标人</w:t>
            </w:r>
            <w:r>
              <w:rPr>
                <w:rFonts w:hint="eastAsia" w:ascii="Times New Roman" w:hAnsi="Times New Roman" w:eastAsia="宋体" w:cs="Times New Roman"/>
                <w:color w:val="000000" w:themeColor="text1"/>
                <w:sz w:val="24"/>
                <w:szCs w:val="24"/>
                <w:lang w:bidi="ar"/>
                <w14:textFill>
                  <w14:solidFill>
                    <w14:schemeClr w14:val="tx1"/>
                  </w14:solidFill>
                </w14:textFill>
              </w:rPr>
              <w:t xml:space="preserve">具有</w:t>
            </w:r>
            <w:r>
              <w:rPr>
                <w:rFonts w:hint="eastAsia" w:ascii="Times New Roman" w:hAnsi="Times New Roman" w:eastAsia="宋体" w:cs="Times New Roman"/>
                <w:color w:val="000000" w:themeColor="text1"/>
                <w:sz w:val="24"/>
                <w:szCs w:val="24"/>
                <w:lang w:val="en-US" w:eastAsia="zh-CN" w:bidi="ar"/>
                <w14:textFill>
                  <w14:solidFill>
                    <w14:schemeClr w14:val="tx1"/>
                  </w14:solidFill>
                </w14:textFill>
              </w:rPr>
              <w:t xml:space="preserve">有效期内的</w:t>
            </w:r>
            <w:r>
              <w:rPr>
                <w:rFonts w:hint="eastAsia" w:ascii="Times New Roman" w:hAnsi="Times New Roman" w:eastAsia="宋体" w:cs="Times New Roman"/>
                <w:color w:val="000000"/>
                <w:sz w:val="24"/>
                <w:szCs w:val="24"/>
                <w:lang w:bidi="ar"/>
              </w:rPr>
              <w:t xml:space="preserve">信息安全管理体系认证证书、质量体系认证证书、</w:t>
            </w:r>
            <w:r>
              <w:rPr>
                <w:rFonts w:hint="eastAsia" w:ascii="Times New Roman" w:hAnsi="Times New Roman" w:eastAsia="宋体" w:cs="Times New Roman"/>
                <w:color w:val="000000"/>
                <w:sz w:val="24"/>
                <w:szCs w:val="24"/>
                <w:lang w:val="en-US" w:eastAsia="zh-CN" w:bidi="ar"/>
              </w:rPr>
              <w:t xml:space="preserve">信息技术</w:t>
            </w:r>
            <w:r>
              <w:rPr>
                <w:rFonts w:hint="eastAsia" w:ascii="Times New Roman" w:hAnsi="Times New Roman" w:eastAsia="宋体" w:cs="Times New Roman"/>
                <w:color w:val="000000"/>
                <w:sz w:val="24"/>
                <w:szCs w:val="24"/>
                <w:lang w:bidi="ar"/>
              </w:rPr>
              <w:t xml:space="preserve">服务管理体系认证证书，每提供1项证书得2分，最高得6分。</w:t>
            </w:r>
            <w:r/>
          </w:p>
          <w:p>
            <w:pPr>
              <w:jc w:val="lef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bidi="ar"/>
              </w:rPr>
              <w:t xml:space="preserve">注：投标时提供上述证书的彩色扫描件，</w:t>
            </w:r>
            <w:r>
              <w:rPr>
                <w:rFonts w:ascii="Times New Roman" w:hAnsi="Times New Roman" w:eastAsia="宋体" w:cs="Times New Roman"/>
                <w:color w:val="000000"/>
                <w:sz w:val="24"/>
                <w:szCs w:val="24"/>
              </w:rPr>
              <w:t xml:space="preserve">投标人应当确保证书开标当天处于有效期内，否则不予认可。以上材料均须加盖投标人公章，否则不予认可，不提供不得分</w:t>
            </w:r>
            <w:r>
              <w:rPr>
                <w:rFonts w:hint="eastAsia" w:ascii="Times New Roman" w:hAnsi="Times New Roman" w:cs="Times New Roman"/>
                <w:color w:val="000000"/>
                <w:sz w:val="24"/>
                <w:szCs w:val="24"/>
              </w:rPr>
              <w:t xml:space="preserve">。</w:t>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widowControl/>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6</w:t>
            </w:r>
            <w:r/>
          </w:p>
        </w:tc>
      </w:tr>
      <w:tr>
        <w:trPr>
          <w:trHeight w:val="90"/>
        </w:trPr>
        <w:tc>
          <w:tcPr>
            <w:tcBorders>
              <w:top w:val="single" w:color="auto" w:sz="4" w:space="0"/>
              <w:left w:val="single" w:color="auto" w:sz="4" w:space="0"/>
              <w:bottom w:val="single" w:color="auto" w:sz="4" w:space="0"/>
              <w:right w:val="single" w:color="auto" w:sz="4" w:space="0"/>
            </w:tcBorders>
            <w:tcW w:w="490" w:type="pct"/>
            <w:vAlign w:val="center"/>
            <w:textDirection w:val="lrTb"/>
            <w:noWrap w:val="false"/>
          </w:tcPr>
          <w:p>
            <w:pPr>
              <w:jc w:val="center"/>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bidi="ar"/>
              </w:rPr>
              <w:t xml:space="preserve">3</w:t>
            </w:r>
            <w:r/>
          </w:p>
        </w:tc>
        <w:tc>
          <w:tcPr>
            <w:tcBorders>
              <w:top w:val="single" w:color="auto" w:sz="4" w:space="0"/>
              <w:left w:val="single" w:color="auto" w:sz="4" w:space="0"/>
              <w:bottom w:val="single" w:color="auto" w:sz="4" w:space="0"/>
              <w:right w:val="single" w:color="auto" w:sz="4" w:space="0"/>
            </w:tcBorders>
            <w:tcW w:w="739" w:type="pct"/>
            <w:vAlign w:val="center"/>
            <w:textDirection w:val="lrTb"/>
            <w:noWrap w:val="false"/>
          </w:tcPr>
          <w:p>
            <w:pPr>
              <w:jc w:val="center"/>
              <w:widowControl/>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bidi="ar"/>
              </w:rPr>
              <w:t xml:space="preserve">业绩</w:t>
            </w:r>
            <w:r>
              <w:rPr>
                <w:color w:val="000000" w:themeColor="text1"/>
              </w:rPr>
            </w:r>
            <w:r/>
          </w:p>
          <w:p>
            <w:pPr>
              <w:jc w:val="center"/>
              <w:widowControl/>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bidi="ar"/>
              </w:rPr>
              <w:t xml:space="preserve">（</w:t>
            </w:r>
            <w:r>
              <w:rPr>
                <w:rFonts w:ascii="Times New Roman" w:hAnsi="Times New Roman" w:eastAsia="宋体" w:cs="Times New Roman"/>
                <w:color w:val="000000" w:themeColor="text1"/>
                <w:sz w:val="24"/>
                <w:szCs w:val="24"/>
                <w:lang w:bidi="ar"/>
              </w:rPr>
              <w:t xml:space="preserve">1</w:t>
            </w:r>
            <w:r>
              <w:rPr>
                <w:rFonts w:hint="eastAsia" w:ascii="Times New Roman" w:hAnsi="Times New Roman" w:eastAsia="宋体" w:cs="Times New Roman"/>
                <w:color w:val="000000" w:themeColor="text1"/>
                <w:sz w:val="24"/>
                <w:szCs w:val="24"/>
                <w:lang w:val="en-US" w:eastAsia="zh-CN" w:bidi="ar"/>
              </w:rPr>
              <w:t xml:space="preserve">5</w:t>
            </w:r>
            <w:r>
              <w:rPr>
                <w:rFonts w:hint="eastAsia" w:ascii="Times New Roman" w:hAnsi="Times New Roman" w:eastAsia="宋体" w:cs="Times New Roman"/>
                <w:color w:val="000000" w:themeColor="text1"/>
                <w:sz w:val="24"/>
                <w:szCs w:val="24"/>
                <w:lang w:bidi="ar"/>
              </w:rPr>
              <w:t xml:space="preserve">分）</w:t>
            </w:r>
            <w:r>
              <w:rPr>
                <w:color w:val="000000" w:themeColor="text1"/>
              </w:rPr>
            </w:r>
            <w:r/>
          </w:p>
        </w:tc>
        <w:tc>
          <w:tcPr>
            <w:tcBorders>
              <w:top w:val="single" w:color="auto" w:sz="4" w:space="0"/>
              <w:left w:val="single" w:color="auto" w:sz="4" w:space="0"/>
              <w:bottom w:val="single" w:color="auto" w:sz="4" w:space="0"/>
              <w:right w:val="single" w:color="auto" w:sz="4" w:space="0"/>
            </w:tcBorders>
            <w:tcW w:w="3286" w:type="pct"/>
            <w:vAlign w:val="center"/>
            <w:textDirection w:val="lrTb"/>
            <w:noWrap w:val="false"/>
          </w:tcPr>
          <w:p>
            <w:pPr>
              <w:jc w:val="lef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投标人自</w:t>
            </w:r>
            <w:r>
              <w:rPr>
                <w:rFonts w:ascii="Times New Roman" w:hAnsi="Times New Roman" w:eastAsia="宋体" w:cs="Times New Roman"/>
                <w:color w:val="000000" w:themeColor="text1"/>
                <w:sz w:val="24"/>
                <w:szCs w:val="24"/>
              </w:rPr>
              <w:t xml:space="preserve">2022</w:t>
            </w:r>
            <w:r>
              <w:rPr>
                <w:rFonts w:hint="eastAsia" w:ascii="Times New Roman" w:hAnsi="Times New Roman" w:eastAsia="宋体" w:cs="Times New Roman"/>
                <w:color w:val="000000" w:themeColor="text1"/>
                <w:sz w:val="24"/>
                <w:szCs w:val="24"/>
              </w:rPr>
              <w:t xml:space="preserve">年</w:t>
            </w:r>
            <w:r>
              <w:rPr>
                <w:rFonts w:ascii="Times New Roman" w:hAnsi="Times New Roman" w:eastAsia="宋体" w:cs="Times New Roman"/>
                <w:color w:val="000000" w:themeColor="text1"/>
                <w:sz w:val="24"/>
                <w:szCs w:val="24"/>
              </w:rPr>
              <w:t xml:space="preserve">1</w:t>
            </w:r>
            <w:r>
              <w:rPr>
                <w:rFonts w:hint="eastAsia" w:ascii="Times New Roman" w:hAnsi="Times New Roman" w:eastAsia="宋体" w:cs="Times New Roman"/>
                <w:color w:val="000000" w:themeColor="text1"/>
                <w:sz w:val="24"/>
                <w:szCs w:val="24"/>
              </w:rPr>
              <w:t xml:space="preserve">月</w:t>
            </w:r>
            <w:r>
              <w:rPr>
                <w:rFonts w:ascii="Times New Roman" w:hAnsi="Times New Roman" w:eastAsia="宋体" w:cs="Times New Roman"/>
                <w:color w:val="000000" w:themeColor="text1"/>
                <w:sz w:val="24"/>
                <w:szCs w:val="24"/>
              </w:rPr>
              <w:t xml:space="preserve">1</w:t>
            </w:r>
            <w:r>
              <w:rPr>
                <w:rFonts w:hint="eastAsia" w:ascii="Times New Roman" w:hAnsi="Times New Roman" w:eastAsia="宋体" w:cs="Times New Roman"/>
                <w:color w:val="000000" w:themeColor="text1"/>
                <w:sz w:val="24"/>
                <w:szCs w:val="24"/>
              </w:rPr>
              <w:t xml:space="preserve">日（以合同签订日期为准）以来，具有类似项目业绩（</w:t>
            </w:r>
            <w:r>
              <w:rPr>
                <w:rFonts w:hint="eastAsia" w:ascii="Times New Roman" w:hAnsi="Times New Roman" w:eastAsia="宋体" w:cs="Times New Roman"/>
                <w:color w:val="000000" w:themeColor="text1"/>
                <w:sz w:val="24"/>
                <w:szCs w:val="24"/>
                <w:lang w:val="zh-CN"/>
              </w:rPr>
              <w:t xml:space="preserve">类似项目业绩是指信息系统建设项目监理服务、信息化项目审计、绩效评价服务至少一项在内的项目业绩</w:t>
            </w:r>
            <w:r>
              <w:rPr>
                <w:rFonts w:hint="eastAsia" w:ascii="Times New Roman" w:hAnsi="Times New Roman" w:eastAsia="宋体" w:cs="Times New Roman"/>
                <w:color w:val="000000" w:themeColor="text1"/>
                <w:sz w:val="24"/>
                <w:szCs w:val="24"/>
              </w:rPr>
              <w:t xml:space="preserve">），每提供一个</w:t>
            </w:r>
            <w:r>
              <w:rPr>
                <w:rFonts w:hint="eastAsia" w:ascii="Times New Roman" w:hAnsi="Times New Roman" w:eastAsia="宋体" w:cs="Times New Roman"/>
                <w:color w:val="000000" w:themeColor="text1"/>
                <w:sz w:val="24"/>
                <w:szCs w:val="24"/>
                <w:lang w:val="en-US" w:eastAsia="zh-CN"/>
              </w:rPr>
              <w:t xml:space="preserve">有效</w:t>
            </w:r>
            <w:r>
              <w:rPr>
                <w:rFonts w:hint="eastAsia" w:ascii="Times New Roman" w:hAnsi="Times New Roman" w:eastAsia="宋体" w:cs="Times New Roman"/>
                <w:color w:val="000000" w:themeColor="text1"/>
                <w:sz w:val="24"/>
                <w:szCs w:val="24"/>
              </w:rPr>
              <w:t xml:space="preserve">业绩得3分，本项最高得1</w:t>
            </w:r>
            <w:r>
              <w:rPr>
                <w:rFonts w:hint="eastAsia" w:ascii="Times New Roman" w:hAnsi="Times New Roman" w:eastAsia="宋体" w:cs="Times New Roman"/>
                <w:color w:val="000000" w:themeColor="text1"/>
                <w:sz w:val="24"/>
                <w:szCs w:val="24"/>
                <w:lang w:val="en-US" w:eastAsia="zh-CN"/>
              </w:rPr>
              <w:t xml:space="preserve">5</w:t>
            </w:r>
            <w:r>
              <w:rPr>
                <w:rFonts w:hint="eastAsia" w:ascii="Times New Roman" w:hAnsi="Times New Roman" w:eastAsia="宋体" w:cs="Times New Roman"/>
                <w:color w:val="000000" w:themeColor="text1"/>
                <w:sz w:val="24"/>
                <w:szCs w:val="24"/>
              </w:rPr>
              <w:t xml:space="preserve">分。</w:t>
            </w:r>
            <w:r>
              <w:rPr>
                <w:color w:val="000000" w:themeColor="text1"/>
              </w:rPr>
            </w:r>
            <w:r/>
          </w:p>
          <w:p>
            <w:pPr>
              <w:jc w:val="lef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注：需提供合同关键页扫描件（合同关键页包括但不限于合同首页、合同签订日期页、双方盖章页等关键页）作为得分依据；未提供或评标委员会无法凭所提供资料判断是否得分的情况，一律作不得分处理</w:t>
            </w:r>
            <w:r>
              <w:rPr>
                <w:rFonts w:hint="eastAsia" w:ascii="Times New Roman" w:hAnsi="Times New Roman" w:cs="Times New Roman"/>
                <w:color w:val="000000" w:themeColor="text1"/>
                <w:sz w:val="24"/>
                <w:szCs w:val="24"/>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widowControl/>
              <w:rPr>
                <w:rFonts w:hint="eastAsia"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lang w:bidi="ar"/>
              </w:rPr>
              <w:t xml:space="preserve">1</w:t>
            </w:r>
            <w:r>
              <w:rPr>
                <w:rFonts w:hint="eastAsia" w:ascii="Times New Roman" w:hAnsi="Times New Roman" w:eastAsia="宋体" w:cs="Times New Roman"/>
                <w:color w:val="000000" w:themeColor="text1"/>
                <w:sz w:val="24"/>
                <w:szCs w:val="24"/>
                <w:lang w:val="en-US" w:eastAsia="zh-CN" w:bidi="ar"/>
              </w:rPr>
              <w:t xml:space="preserve">5</w:t>
            </w:r>
            <w:r>
              <w:rPr>
                <w:color w:val="000000" w:themeColor="text1"/>
              </w:rPr>
            </w:r>
            <w:r/>
          </w:p>
        </w:tc>
      </w:tr>
      <w:tr>
        <w:trPr>
          <w:trHeight w:val="90"/>
        </w:trPr>
        <w:tc>
          <w:tcPr>
            <w:tcBorders>
              <w:top w:val="single" w:color="auto" w:sz="4" w:space="0"/>
              <w:left w:val="single" w:color="auto" w:sz="4" w:space="0"/>
              <w:bottom w:val="single" w:color="auto" w:sz="4" w:space="0"/>
              <w:right w:val="single" w:color="auto" w:sz="4" w:space="0"/>
            </w:tcBorders>
            <w:tcW w:w="490" w:type="pct"/>
            <w:vAlign w:val="center"/>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4</w:t>
            </w:r>
            <w:r/>
          </w:p>
        </w:tc>
        <w:tc>
          <w:tcPr>
            <w:tcBorders>
              <w:top w:val="single" w:color="auto" w:sz="4" w:space="0"/>
              <w:left w:val="single" w:color="auto" w:sz="4" w:space="0"/>
              <w:bottom w:val="single" w:color="auto" w:sz="4" w:space="0"/>
              <w:right w:val="single" w:color="auto" w:sz="4" w:space="0"/>
            </w:tcBorders>
            <w:tcW w:w="739"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lang w:bidi="ar"/>
              </w:rPr>
              <w:t xml:space="preserve">团队能力</w:t>
            </w:r>
            <w:r/>
          </w:p>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lang w:bidi="ar"/>
              </w:rPr>
              <w:t xml:space="preserve">（</w:t>
            </w:r>
            <w:r>
              <w:rPr>
                <w:rFonts w:ascii="Times New Roman" w:hAnsi="Times New Roman" w:eastAsia="宋体" w:cs="Times New Roman"/>
                <w:color w:val="000000"/>
                <w:szCs w:val="21"/>
                <w:lang w:bidi="ar"/>
              </w:rPr>
              <w:t xml:space="preserve">20</w:t>
            </w:r>
            <w:r>
              <w:rPr>
                <w:rFonts w:hint="eastAsia" w:ascii="Times New Roman" w:hAnsi="Times New Roman" w:eastAsia="宋体" w:cs="Times New Roman"/>
                <w:color w:val="000000"/>
                <w:szCs w:val="21"/>
                <w:lang w:bidi="ar"/>
              </w:rPr>
              <w:t xml:space="preserve">分）</w:t>
            </w:r>
            <w:r/>
          </w:p>
        </w:tc>
        <w:tc>
          <w:tcPr>
            <w:tcBorders>
              <w:top w:val="single" w:color="auto" w:sz="4" w:space="0"/>
              <w:left w:val="single" w:color="auto" w:sz="4" w:space="0"/>
              <w:bottom w:val="single" w:color="auto" w:sz="4" w:space="0"/>
              <w:right w:val="single" w:color="auto" w:sz="4" w:space="0"/>
            </w:tcBorders>
            <w:tcW w:w="3286" w:type="pct"/>
            <w:vAlign w:val="center"/>
            <w:textDirection w:val="lrTb"/>
            <w:noWrap w:val="false"/>
          </w:tcPr>
          <w:p>
            <w:pPr>
              <w:jc w:val="left"/>
              <w:widowControl/>
              <w:rPr>
                <w:rFonts w:ascii="Times New Roman" w:hAnsi="Times New Roman" w:eastAsia="宋体" w:cs="Times New Roman"/>
                <w:color w:val="auto"/>
                <w:sz w:val="24"/>
                <w:szCs w:val="24"/>
              </w:rPr>
            </w:pPr>
            <w:r>
              <w:rPr>
                <w:rFonts w:ascii="Times New Roman" w:hAnsi="Times New Roman" w:eastAsia="宋体" w:cs="Times New Roman"/>
                <w:color w:val="auto"/>
                <w:sz w:val="24"/>
                <w:szCs w:val="24"/>
                <w:lang w:bidi="ar"/>
              </w:rPr>
              <w:t xml:space="preserve">1.</w:t>
            </w:r>
            <w:r>
              <w:rPr>
                <w:rFonts w:hint="eastAsia" w:ascii="Times New Roman" w:hAnsi="Times New Roman" w:eastAsia="宋体" w:cs="Times New Roman"/>
                <w:color w:val="auto"/>
                <w:sz w:val="24"/>
                <w:szCs w:val="24"/>
                <w:lang w:bidi="ar"/>
              </w:rPr>
              <w:t xml:space="preserve">项目总监理工程师：在具有国家人力资源和社会保障部工业和信息化部批准颁发的信息系统监理师证书基础上，具备国家人力资源和社会保障部工业和信息化部批准颁发的信息系统项目管理师证书</w:t>
            </w:r>
            <w:r>
              <w:rPr>
                <w:rFonts w:hint="eastAsia" w:ascii="宋体" w:hAnsi="宋体" w:cs="宋体"/>
                <w:color w:val="auto"/>
                <w:sz w:val="24"/>
                <w:szCs w:val="24"/>
                <w:lang w:bidi="ar"/>
              </w:rPr>
              <w:t xml:space="preserve">，得6分。</w:t>
            </w:r>
            <w:r/>
          </w:p>
          <w:p>
            <w:pPr>
              <w:jc w:val="left"/>
              <w:widowControl/>
              <w:rPr>
                <w:rFonts w:ascii="Times New Roman" w:hAnsi="Times New Roman" w:eastAsia="宋体" w:cs="Times New Roman"/>
                <w:color w:val="auto"/>
                <w:sz w:val="24"/>
                <w:szCs w:val="24"/>
              </w:rPr>
            </w:pPr>
            <w:r>
              <w:rPr>
                <w:rFonts w:ascii="Times New Roman" w:hAnsi="Times New Roman" w:eastAsia="宋体" w:cs="Times New Roman"/>
                <w:color w:val="auto"/>
                <w:sz w:val="24"/>
                <w:szCs w:val="24"/>
                <w:lang w:bidi="ar"/>
              </w:rPr>
              <w:t xml:space="preserve">2</w:t>
            </w:r>
            <w:r>
              <w:rPr>
                <w:rFonts w:hint="eastAsia" w:ascii="Times New Roman" w:hAnsi="Times New Roman" w:eastAsia="宋体" w:cs="Times New Roman"/>
                <w:color w:val="auto"/>
                <w:sz w:val="24"/>
                <w:szCs w:val="24"/>
                <w:lang w:bidi="ar"/>
              </w:rPr>
              <w:t xml:space="preserve">.技术负责人：在具有国家人力资源和社会保障部工业和信息化部批准颁发的信息系统监理师证书基础上，具备国家人力资源和社会保障部 工业和信息化部批准颁发的</w:t>
            </w:r>
            <w:r>
              <w:rPr>
                <w:rFonts w:hint="eastAsia" w:ascii="宋体" w:hAnsi="宋体" w:cs="宋体"/>
                <w:color w:val="auto"/>
                <w:sz w:val="24"/>
                <w:szCs w:val="24"/>
                <w:lang w:bidi="ar"/>
              </w:rPr>
              <w:t xml:space="preserve">系统集成项目管理工程师或信息安全工程师证书，得6分。</w:t>
            </w:r>
            <w:r/>
          </w:p>
          <w:p>
            <w:pPr>
              <w:jc w:val="lef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bidi="ar"/>
              </w:rPr>
              <w:t xml:space="preserve">3.</w:t>
            </w:r>
            <w:r>
              <w:rPr>
                <w:rFonts w:hint="eastAsia" w:ascii="Times New Roman" w:hAnsi="Times New Roman" w:eastAsia="宋体" w:cs="Times New Roman"/>
                <w:color w:val="000000"/>
                <w:sz w:val="24"/>
                <w:szCs w:val="24"/>
                <w:lang w:bidi="ar"/>
              </w:rPr>
              <w:t xml:space="preserve">项目组成员：项目团队中技术人员（除项目总监理工程师、技术负责人外）在具有国家人力资源和社会保障部工业和信息化部批准颁发的信息系统监理师证书基础上，具备国家人力资源和社会保障部工业和信息化部批准颁发的</w:t>
            </w:r>
            <w:r>
              <w:rPr>
                <w:rFonts w:hint="eastAsia" w:ascii="宋体" w:hAnsi="宋体" w:cs="宋体"/>
                <w:color w:val="000000"/>
                <w:sz w:val="24"/>
                <w:szCs w:val="24"/>
                <w:lang w:bidi="ar"/>
              </w:rPr>
              <w:t xml:space="preserve">信息系统项目管理师、数据库系统工程师、信息安全工程师、软件评测师证书，</w:t>
            </w:r>
            <w:r>
              <w:rPr>
                <w:rFonts w:hint="eastAsia" w:ascii="Times New Roman" w:hAnsi="Times New Roman" w:eastAsia="宋体" w:cs="Times New Roman"/>
                <w:color w:val="000000"/>
                <w:sz w:val="24"/>
                <w:szCs w:val="24"/>
                <w:lang w:bidi="ar"/>
              </w:rPr>
              <w:t xml:space="preserve">每提供</w:t>
            </w:r>
            <w:r>
              <w:rPr>
                <w:rFonts w:ascii="Times New Roman" w:hAnsi="Times New Roman" w:eastAsia="宋体" w:cs="Times New Roman"/>
                <w:color w:val="000000"/>
                <w:sz w:val="24"/>
                <w:szCs w:val="24"/>
                <w:lang w:bidi="ar"/>
              </w:rPr>
              <w:t xml:space="preserve">1</w:t>
            </w:r>
            <w:r>
              <w:rPr>
                <w:rFonts w:hint="eastAsia" w:ascii="Times New Roman" w:hAnsi="Times New Roman" w:eastAsia="宋体" w:cs="Times New Roman"/>
                <w:color w:val="000000"/>
                <w:sz w:val="24"/>
                <w:szCs w:val="24"/>
                <w:lang w:bidi="ar"/>
              </w:rPr>
              <w:t xml:space="preserve">类证书得</w:t>
            </w:r>
            <w:r>
              <w:rPr>
                <w:rFonts w:hint="eastAsia" w:ascii="Times New Roman" w:hAnsi="Times New Roman" w:cs="Times New Roman"/>
                <w:color w:val="000000"/>
                <w:sz w:val="24"/>
                <w:szCs w:val="24"/>
                <w:lang w:bidi="ar"/>
              </w:rPr>
              <w:t xml:space="preserve">2</w:t>
            </w:r>
            <w:r>
              <w:rPr>
                <w:rFonts w:hint="eastAsia" w:ascii="Times New Roman" w:hAnsi="Times New Roman" w:eastAsia="宋体" w:cs="Times New Roman"/>
                <w:color w:val="000000"/>
                <w:sz w:val="24"/>
                <w:szCs w:val="24"/>
                <w:lang w:bidi="ar"/>
              </w:rPr>
              <w:t xml:space="preserve">分，最高得8分。</w:t>
            </w:r>
            <w:r/>
          </w:p>
          <w:p>
            <w:pPr>
              <w:jc w:val="left"/>
              <w:widowControl/>
              <w:rPr>
                <w:rFonts w:ascii="Times New Roman" w:hAnsi="Times New Roman" w:eastAsia="宋体" w:cs="Times New Roman"/>
                <w:color w:val="000000"/>
                <w:szCs w:val="21"/>
              </w:rPr>
            </w:pPr>
            <w:r/>
            <w:bookmarkStart w:id="144" w:name="OLE_LINK9"/>
            <w:r>
              <w:rPr>
                <w:rFonts w:hint="eastAsia" w:ascii="Times New Roman" w:hAnsi="Times New Roman" w:cs="Times New Roman"/>
                <w:sz w:val="24"/>
                <w:szCs w:val="24"/>
              </w:rPr>
              <w:t xml:space="preserve">注：①上述证明材料以原件的扫描件并加盖投标人公章进行计分；②以上所有人员需提供</w:t>
            </w:r>
            <w:r>
              <w:rPr>
                <w:rFonts w:hint="eastAsia" w:ascii="Times New Roman" w:hAnsi="Times New Roman" w:cs="Times New Roman"/>
                <w:sz w:val="24"/>
                <w:szCs w:val="24"/>
                <w:lang w:eastAsia="zh-CN"/>
              </w:rPr>
              <w:t xml:space="preserve">投标人</w:t>
            </w:r>
            <w:r>
              <w:rPr>
                <w:rFonts w:hint="eastAsia" w:ascii="Times New Roman" w:hAnsi="Times New Roman" w:cs="Times New Roman"/>
                <w:sz w:val="24"/>
                <w:szCs w:val="24"/>
              </w:rPr>
              <w:t xml:space="preserve">投标前3个月内任意1个月缴纳社保的证明材料并加盖投标人公章。</w:t>
            </w:r>
            <w:bookmarkEnd w:id="144"/>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20</w:t>
            </w:r>
            <w:r/>
          </w:p>
        </w:tc>
      </w:tr>
      <w:tr>
        <w:trPr>
          <w:trHeight w:val="767"/>
        </w:trPr>
        <w:tc>
          <w:tcPr>
            <w:tcBorders>
              <w:top w:val="single" w:color="auto" w:sz="4" w:space="0"/>
              <w:left w:val="single" w:color="auto" w:sz="4" w:space="0"/>
              <w:bottom w:val="single" w:color="auto" w:sz="4" w:space="0"/>
              <w:right w:val="single" w:color="auto" w:sz="4" w:space="0"/>
            </w:tcBorders>
            <w:tcW w:w="490" w:type="pct"/>
            <w:vAlign w:val="center"/>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w:t>
            </w:r>
            <w:r/>
          </w:p>
        </w:tc>
        <w:tc>
          <w:tcPr>
            <w:tcBorders>
              <w:top w:val="single" w:color="auto" w:sz="4" w:space="0"/>
              <w:left w:val="single" w:color="auto" w:sz="4" w:space="0"/>
              <w:bottom w:val="single" w:color="auto" w:sz="4" w:space="0"/>
              <w:right w:val="single" w:color="auto" w:sz="4" w:space="0"/>
            </w:tcBorders>
            <w:tcW w:w="739" w:type="pct"/>
            <w:vAlign w:val="center"/>
            <w:textDirection w:val="lrTb"/>
            <w:noWrap w:val="false"/>
          </w:tcPr>
          <w:p>
            <w:pPr>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lang w:bidi="ar"/>
              </w:rPr>
              <w:t xml:space="preserve">总体技术</w:t>
            </w:r>
            <w:r/>
          </w:p>
          <w:p>
            <w:pPr>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lang w:bidi="ar"/>
              </w:rPr>
              <w:t xml:space="preserve">方案</w:t>
            </w:r>
            <w:r/>
          </w:p>
          <w:p>
            <w:pPr>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lang w:bidi="ar"/>
              </w:rPr>
              <w:t xml:space="preserve">（</w:t>
            </w:r>
            <w:r>
              <w:rPr>
                <w:rFonts w:ascii="Times New Roman" w:hAnsi="Times New Roman" w:eastAsia="宋体" w:cs="Times New Roman"/>
                <w:color w:val="000000"/>
                <w:szCs w:val="21"/>
                <w:lang w:bidi="ar"/>
              </w:rPr>
              <w:t xml:space="preserve">8</w:t>
            </w:r>
            <w:r>
              <w:rPr>
                <w:rFonts w:hint="eastAsia" w:ascii="Times New Roman" w:hAnsi="Times New Roman" w:eastAsia="宋体" w:cs="Times New Roman"/>
                <w:color w:val="000000"/>
                <w:szCs w:val="21"/>
                <w:lang w:bidi="ar"/>
              </w:rPr>
              <w:t xml:space="preserve">分）</w:t>
            </w:r>
            <w:r/>
          </w:p>
        </w:tc>
        <w:tc>
          <w:tcPr>
            <w:tcBorders>
              <w:top w:val="single" w:color="auto" w:sz="4" w:space="0"/>
              <w:left w:val="single" w:color="auto" w:sz="4" w:space="0"/>
              <w:bottom w:val="single" w:color="auto" w:sz="4" w:space="0"/>
              <w:right w:val="single" w:color="auto" w:sz="4" w:space="0"/>
            </w:tcBorders>
            <w:tcW w:w="3286" w:type="pct"/>
            <w:vAlign w:val="center"/>
            <w:textDirection w:val="lrTb"/>
            <w:noWrap w:val="false"/>
          </w:tcPr>
          <w:p>
            <w:pPr>
              <w:jc w:val="left"/>
              <w:rPr>
                <w:rFonts w:ascii="Times New Roman" w:hAnsi="Times New Roman" w:eastAsia="宋体" w:cs="Times New Roman"/>
                <w:color w:val="000000"/>
                <w:szCs w:val="21"/>
                <w:lang w:bidi="ar"/>
              </w:rPr>
            </w:pPr>
            <w:r>
              <w:rPr>
                <w:rFonts w:hint="eastAsia" w:ascii="Times New Roman" w:hAnsi="Times New Roman" w:eastAsia="宋体" w:cs="Times New Roman"/>
                <w:color w:val="000000"/>
                <w:szCs w:val="21"/>
                <w:lang w:bidi="ar"/>
              </w:rPr>
              <w:t xml:space="preserve">投标人根据本项目第四章采购需求中“总体方案设计要求”，提供科学合理的总体方案设计方案，设计目标明确，结构层次划分清晰合理准确，方案至少包含：项目背景分析，包括项目来源、建设必要性及行业现状说明；项目内容与范围的详细界定； 项目总体目标与阶段性目标的明确阐述；项目设计及实施所依据的国家标准、行业规范或政策文件；对相关政策背景的理解与响应，说明方案如何符合政策要求与发展方向。</w:t>
            </w:r>
            <w:r>
              <w:rPr>
                <w:rFonts w:hint="eastAsia" w:ascii="Times New Roman" w:hAnsi="Times New Roman" w:eastAsia="宋体" w:cs="Times New Roman"/>
                <w:color w:val="000000"/>
                <w:szCs w:val="21"/>
              </w:rPr>
              <w:t xml:space="preserve">方案应结构清晰，内容科学合理，具有前瞻性。</w:t>
            </w:r>
            <w:r>
              <w:rPr>
                <w:rFonts w:hint="eastAsia" w:ascii="Times New Roman" w:hAnsi="Times New Roman" w:eastAsia="宋体" w:cs="Times New Roman"/>
                <w:color w:val="000000"/>
                <w:szCs w:val="21"/>
                <w:lang w:bidi="ar"/>
              </w:rPr>
              <w:t xml:space="preserve">方案优于要求的得8分，符合要求得7分，不符合要求或未提供的不得分。</w:t>
            </w:r>
            <w:r/>
          </w:p>
          <w:p>
            <w:pPr>
              <w:jc w:val="left"/>
              <w:rPr>
                <w:rFonts w:ascii="Times New Roman" w:hAnsi="Times New Roman" w:eastAsia="宋体" w:cs="Times New Roman"/>
                <w:color w:val="000000"/>
                <w:szCs w:val="21"/>
              </w:rPr>
            </w:pPr>
            <w:r>
              <w:rPr>
                <w:rFonts w:hint="eastAsia" w:ascii="Times New Roman" w:hAnsi="Times New Roman" w:eastAsia="宋体" w:cs="Times New Roman"/>
                <w:color w:val="000000"/>
                <w:szCs w:val="21"/>
                <w:lang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8</w:t>
            </w:r>
            <w:r/>
          </w:p>
        </w:tc>
      </w:tr>
      <w:tr>
        <w:trPr>
          <w:trHeight w:val="1523"/>
        </w:trPr>
        <w:tc>
          <w:tcPr>
            <w:tcBorders>
              <w:top w:val="single" w:color="auto" w:sz="4" w:space="0"/>
              <w:left w:val="single" w:color="auto" w:sz="4" w:space="0"/>
              <w:bottom w:val="single" w:color="auto" w:sz="4" w:space="0"/>
              <w:right w:val="single" w:color="auto" w:sz="4" w:space="0"/>
            </w:tcBorders>
            <w:tcW w:w="490" w:type="pct"/>
            <w:vAlign w:val="center"/>
            <w:vMerge w:val="restart"/>
            <w:textDirection w:val="lrTb"/>
            <w:noWrap w:val="false"/>
          </w:tcPr>
          <w:p>
            <w:pPr>
              <w:jc w:val="center"/>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6</w:t>
            </w:r>
            <w:r/>
          </w:p>
        </w:tc>
        <w:tc>
          <w:tcPr>
            <w:tcBorders>
              <w:top w:val="single" w:color="auto" w:sz="4" w:space="0"/>
              <w:left w:val="single" w:color="auto" w:sz="4" w:space="0"/>
              <w:bottom w:val="single" w:color="auto" w:sz="4" w:space="0"/>
              <w:right w:val="single" w:color="auto" w:sz="4" w:space="0"/>
            </w:tcBorders>
            <w:tcW w:w="739" w:type="pct"/>
            <w:vAlign w:val="center"/>
            <w:vMerge w:val="restart"/>
            <w:textDirection w:val="lrTb"/>
            <w:noWrap w:val="false"/>
          </w:tcPr>
          <w:p>
            <w:pPr>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lang w:bidi="ar"/>
              </w:rPr>
              <w:t xml:space="preserve">监理服务</w:t>
            </w:r>
            <w:r/>
          </w:p>
          <w:p>
            <w:pPr>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lang w:bidi="ar"/>
              </w:rPr>
              <w:t xml:space="preserve">方案</w:t>
            </w:r>
            <w:r/>
          </w:p>
          <w:p>
            <w:pPr>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lang w:bidi="ar"/>
              </w:rPr>
              <w:t xml:space="preserve">（</w:t>
            </w:r>
            <w:r>
              <w:rPr>
                <w:rFonts w:ascii="Times New Roman" w:hAnsi="Times New Roman" w:eastAsia="宋体" w:cs="Times New Roman"/>
                <w:color w:val="000000"/>
                <w:szCs w:val="21"/>
                <w:lang w:bidi="ar"/>
              </w:rPr>
              <w:t xml:space="preserve">1</w:t>
            </w:r>
            <w:r>
              <w:rPr>
                <w:rFonts w:hint="eastAsia" w:ascii="Times New Roman" w:hAnsi="Times New Roman" w:eastAsia="宋体" w:cs="Times New Roman"/>
                <w:color w:val="000000"/>
                <w:szCs w:val="21"/>
                <w:lang w:bidi="ar"/>
              </w:rPr>
              <w:t xml:space="preserve">6分）</w:t>
            </w:r>
            <w:r/>
          </w:p>
        </w:tc>
        <w:tc>
          <w:tcPr>
            <w:tcBorders>
              <w:top w:val="single" w:color="auto" w:sz="4" w:space="0"/>
              <w:left w:val="single" w:color="auto" w:sz="4" w:space="0"/>
              <w:bottom w:val="single" w:color="auto" w:sz="4" w:space="0"/>
              <w:right w:val="single" w:color="auto" w:sz="4" w:space="0"/>
            </w:tcBorders>
            <w:tcW w:w="3286" w:type="pct"/>
            <w:vAlign w:val="center"/>
            <w:textDirection w:val="lrTb"/>
            <w:noWrap w:val="false"/>
          </w:tcPr>
          <w:p>
            <w:pPr>
              <w:jc w:val="left"/>
              <w:rPr>
                <w:rFonts w:ascii="Times New Roman" w:hAnsi="Times New Roman" w:eastAsia="宋体" w:cs="Times New Roman"/>
                <w:color w:val="000000"/>
                <w:szCs w:val="21"/>
                <w:lang w:bidi="ar"/>
              </w:rPr>
            </w:pPr>
            <w:r>
              <w:rPr>
                <w:rFonts w:hint="eastAsia" w:ascii="Times New Roman" w:hAnsi="Times New Roman" w:eastAsia="宋体" w:cs="Times New Roman"/>
                <w:color w:val="000000"/>
                <w:szCs w:val="21"/>
                <w:lang w:bidi="ar"/>
              </w:rPr>
              <w:t xml:space="preserve">1.投标人根据本项目第四章采购需求中“监理服务方案要求”，提供科学合理的监理服务方案，设计目标明确，结构层次划分清晰合理准确，</w:t>
            </w:r>
            <w:r>
              <w:rPr>
                <w:rFonts w:hint="eastAsia" w:ascii="Times New Roman" w:hAnsi="Times New Roman" w:eastAsia="宋体" w:cs="Times New Roman"/>
                <w:color w:val="000000"/>
                <w:szCs w:val="21"/>
              </w:rPr>
              <w:t xml:space="preserve">方案至少包含：</w:t>
            </w:r>
            <w:r>
              <w:rPr>
                <w:rFonts w:hint="eastAsia" w:ascii="Times New Roman" w:hAnsi="Times New Roman" w:eastAsia="宋体" w:cs="Times New Roman"/>
                <w:color w:val="000000"/>
                <w:szCs w:val="21"/>
                <w:lang w:bidi="ar"/>
              </w:rPr>
              <w:t xml:space="preserve">对关键技术、关键节点或复杂环节的专项分析；应对各类重点和难点问题的具体措施；为提高项目质量与效率所提出的合理化建议。方案优于要求的得</w:t>
            </w:r>
            <w:r>
              <w:rPr>
                <w:rFonts w:hint="eastAsia" w:ascii="Times New Roman" w:hAnsi="Times New Roman" w:cs="Times New Roman"/>
                <w:color w:val="000000"/>
                <w:szCs w:val="21"/>
                <w:lang w:bidi="ar"/>
              </w:rPr>
              <w:t xml:space="preserve">8</w:t>
            </w:r>
            <w:r>
              <w:rPr>
                <w:rFonts w:hint="eastAsia" w:ascii="Times New Roman" w:hAnsi="Times New Roman" w:eastAsia="宋体" w:cs="Times New Roman"/>
                <w:color w:val="000000"/>
                <w:szCs w:val="21"/>
                <w:lang w:bidi="ar"/>
              </w:rPr>
              <w:t xml:space="preserve">分，符合要求得7分，不符合要求或未提供的不得分。</w:t>
            </w:r>
            <w:r/>
          </w:p>
          <w:p>
            <w:pPr>
              <w:jc w:val="left"/>
              <w:rPr>
                <w:rFonts w:ascii="Times New Roman" w:hAnsi="Times New Roman" w:eastAsia="宋体" w:cs="Times New Roman"/>
                <w:color w:val="000000"/>
                <w:szCs w:val="21"/>
              </w:rPr>
            </w:pPr>
            <w:r>
              <w:rPr>
                <w:rFonts w:hint="eastAsia" w:ascii="Times New Roman" w:hAnsi="Times New Roman" w:eastAsia="宋体" w:cs="Times New Roman"/>
                <w:color w:val="000000"/>
                <w:szCs w:val="21"/>
                <w:lang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8</w:t>
            </w:r>
            <w:r/>
          </w:p>
        </w:tc>
      </w:tr>
      <w:tr>
        <w:trPr>
          <w:trHeight w:val="1938"/>
        </w:trPr>
        <w:tc>
          <w:tcPr>
            <w:tcBorders>
              <w:top w:val="single" w:color="auto" w:sz="4" w:space="0"/>
              <w:left w:val="single" w:color="auto" w:sz="4" w:space="0"/>
              <w:bottom w:val="single" w:color="auto" w:sz="4" w:space="0"/>
              <w:right w:val="single" w:color="auto" w:sz="4" w:space="0"/>
            </w:tcBorders>
            <w:tcW w:w="490" w:type="pct"/>
            <w:vAlign w:val="center"/>
            <w:vMerge w:val="continue"/>
            <w:textDirection w:val="lrTb"/>
            <w:noWrap w:val="false"/>
          </w:tcPr>
          <w:p>
            <w:pPr>
              <w:rPr>
                <w:rFonts w:ascii="Calibri" w:hAnsi="Calibri" w:cs="Calibri"/>
                <w:sz w:val="20"/>
                <w:szCs w:val="20"/>
              </w:rPr>
            </w:pPr>
            <w:r>
              <w:rPr>
                <w:rFonts w:ascii="Calibri" w:hAnsi="Calibri" w:cs="Calibri"/>
                <w:sz w:val="20"/>
                <w:szCs w:val="20"/>
              </w:rPr>
            </w:r>
            <w:r/>
          </w:p>
        </w:tc>
        <w:tc>
          <w:tcPr>
            <w:tcBorders>
              <w:top w:val="single" w:color="auto" w:sz="4" w:space="0"/>
              <w:left w:val="single" w:color="auto" w:sz="4" w:space="0"/>
              <w:bottom w:val="single" w:color="auto" w:sz="4" w:space="0"/>
              <w:right w:val="single" w:color="auto" w:sz="4" w:space="0"/>
            </w:tcBorders>
            <w:tcW w:w="739" w:type="pct"/>
            <w:vAlign w:val="center"/>
            <w:vMerge w:val="continue"/>
            <w:textDirection w:val="lrTb"/>
            <w:noWrap w:val="false"/>
          </w:tcPr>
          <w:p>
            <w:pPr>
              <w:jc w:val="center"/>
              <w:rPr>
                <w:rFonts w:ascii="Calibri" w:hAnsi="Calibri" w:cs="Calibri"/>
                <w:sz w:val="20"/>
                <w:szCs w:val="20"/>
              </w:rPr>
            </w:pPr>
            <w:r>
              <w:rPr>
                <w:rFonts w:ascii="Calibri" w:hAnsi="Calibri" w:cs="Calibri"/>
                <w:sz w:val="20"/>
                <w:szCs w:val="20"/>
              </w:rPr>
            </w:r>
            <w:r/>
          </w:p>
        </w:tc>
        <w:tc>
          <w:tcPr>
            <w:tcBorders>
              <w:top w:val="single" w:color="auto" w:sz="4" w:space="0"/>
              <w:left w:val="single" w:color="auto" w:sz="4" w:space="0"/>
              <w:bottom w:val="single" w:color="auto" w:sz="4" w:space="0"/>
              <w:right w:val="single" w:color="auto" w:sz="4" w:space="0"/>
            </w:tcBorders>
            <w:tcW w:w="3286" w:type="pct"/>
            <w:vAlign w:val="center"/>
            <w:textDirection w:val="lrTb"/>
            <w:noWrap w:val="false"/>
          </w:tcPr>
          <w:p>
            <w:pPr>
              <w:jc w:val="left"/>
              <w:rPr>
                <w:rFonts w:ascii="Times New Roman" w:hAnsi="Times New Roman" w:eastAsia="宋体" w:cs="Times New Roman"/>
                <w:color w:val="000000"/>
                <w:szCs w:val="21"/>
                <w:lang w:bidi="ar"/>
              </w:rPr>
            </w:pPr>
            <w:r>
              <w:rPr>
                <w:rFonts w:hint="eastAsia" w:ascii="Times New Roman" w:hAnsi="Times New Roman" w:eastAsia="宋体" w:cs="Times New Roman"/>
                <w:color w:val="000000"/>
                <w:szCs w:val="21"/>
                <w:lang w:bidi="ar"/>
              </w:rPr>
              <w:t xml:space="preserve">2.投标人根据本项目第四章采购需求中“监理服务方案要求”，提供科学合理的监理服务方案，设计目标明确，结构层次划分清晰合理准确，方案至少包含：项目质量控制的方法与标准；项目进度控制与里程碑管理机制；项目投资控制与成本监督管理措施；变更控制的流程与审批管理机制；合同管理及履约监督方式；信息管理与沟通协调机制；项目文档的编制、归档及管理制度；风险识别、评估与应对策略；项目内外部组织协调机制与冲突解决办法等</w:t>
            </w:r>
            <w:r>
              <w:rPr>
                <w:rFonts w:hint="eastAsia" w:ascii="Times New Roman" w:hAnsi="Times New Roman" w:eastAsia="宋体" w:cs="Times New Roman"/>
                <w:color w:val="000000"/>
                <w:szCs w:val="21"/>
                <w:lang w:val="en-US" w:eastAsia="zh-CN" w:bidi="ar"/>
              </w:rPr>
              <w:t xml:space="preserve">9</w:t>
            </w:r>
            <w:r>
              <w:rPr>
                <w:rFonts w:hint="eastAsia" w:ascii="Times New Roman" w:hAnsi="Times New Roman" w:eastAsia="宋体" w:cs="Times New Roman"/>
                <w:color w:val="000000"/>
                <w:szCs w:val="21"/>
                <w:lang w:bidi="ar"/>
              </w:rPr>
              <w:t xml:space="preserve">个方面内容。</w:t>
            </w:r>
            <w:r>
              <w:rPr>
                <w:rFonts w:hint="eastAsia" w:ascii="Times New Roman" w:hAnsi="Times New Roman" w:eastAsia="宋体" w:cs="Times New Roman"/>
                <w:color w:val="000000"/>
                <w:szCs w:val="21"/>
              </w:rPr>
              <w:t xml:space="preserve">方案应结构清晰，内容科学合理，具有前瞻性。</w:t>
            </w:r>
            <w:r>
              <w:rPr>
                <w:rFonts w:hint="eastAsia" w:ascii="Times New Roman" w:hAnsi="Times New Roman" w:eastAsia="宋体" w:cs="Times New Roman"/>
                <w:color w:val="000000"/>
                <w:szCs w:val="21"/>
                <w:lang w:bidi="ar"/>
              </w:rPr>
              <w:t xml:space="preserve">方案优于要求的得8分，符合要求得7分，不符合要求或未提供的不得分。</w:t>
            </w:r>
            <w:r/>
          </w:p>
          <w:p>
            <w:pPr>
              <w:jc w:val="left"/>
              <w:rPr>
                <w:rFonts w:ascii="Times New Roman" w:hAnsi="Times New Roman" w:eastAsia="宋体" w:cs="Times New Roman"/>
                <w:color w:val="000000"/>
                <w:szCs w:val="21"/>
              </w:rPr>
            </w:pPr>
            <w:r>
              <w:rPr>
                <w:rFonts w:hint="eastAsia" w:ascii="Times New Roman" w:hAnsi="Times New Roman" w:eastAsia="宋体" w:cs="Times New Roman"/>
                <w:color w:val="000000"/>
                <w:szCs w:val="21"/>
                <w:lang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8</w:t>
            </w:r>
            <w:r/>
          </w:p>
        </w:tc>
      </w:tr>
      <w:tr>
        <w:trPr>
          <w:trHeight w:val="749"/>
        </w:trPr>
        <w:tc>
          <w:tcPr>
            <w:tcBorders>
              <w:top w:val="single" w:color="auto" w:sz="4" w:space="0"/>
              <w:left w:val="single" w:color="auto" w:sz="4" w:space="0"/>
              <w:bottom w:val="single" w:color="auto" w:sz="4" w:space="0"/>
              <w:right w:val="single" w:color="auto" w:sz="4" w:space="0"/>
            </w:tcBorders>
            <w:tcW w:w="490" w:type="pct"/>
            <w:vAlign w:val="center"/>
            <w:vMerge w:val="restart"/>
            <w:textDirection w:val="lrTb"/>
            <w:noWrap w:val="false"/>
          </w:tcPr>
          <w:p>
            <w:pPr>
              <w:jc w:val="center"/>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7</w:t>
            </w:r>
            <w:r/>
          </w:p>
        </w:tc>
        <w:tc>
          <w:tcPr>
            <w:tcBorders>
              <w:top w:val="single" w:color="auto" w:sz="4" w:space="0"/>
              <w:left w:val="single" w:color="auto" w:sz="4" w:space="0"/>
              <w:bottom w:val="single" w:color="auto" w:sz="4" w:space="0"/>
              <w:right w:val="single" w:color="auto" w:sz="4" w:space="0"/>
            </w:tcBorders>
            <w:tcW w:w="739" w:type="pct"/>
            <w:vAlign w:val="center"/>
            <w:vMerge w:val="restart"/>
            <w:textDirection w:val="lrTb"/>
            <w:noWrap w:val="false"/>
          </w:tcPr>
          <w:p>
            <w:pPr>
              <w:jc w:val="center"/>
              <w:rPr>
                <w:rFonts w:ascii="Times New Roman" w:hAnsi="Times New Roman" w:eastAsia="宋体" w:cs="Times New Roman"/>
                <w:color w:val="000000" w:themeColor="text1"/>
                <w:szCs w:val="21"/>
              </w:rPr>
            </w:pPr>
            <w:r>
              <w:rPr>
                <w:rFonts w:hint="eastAsia" w:ascii="Times New Roman" w:hAnsi="Times New Roman" w:eastAsia="宋体" w:cs="Times New Roman"/>
                <w:color w:val="000000" w:themeColor="text1"/>
                <w:szCs w:val="21"/>
                <w:lang w:bidi="ar"/>
              </w:rPr>
              <w:t xml:space="preserve">咨询服务方案</w:t>
            </w:r>
            <w:r>
              <w:rPr>
                <w:color w:val="000000" w:themeColor="text1"/>
              </w:rPr>
            </w:r>
            <w:r/>
          </w:p>
          <w:p>
            <w:pPr>
              <w:jc w:val="center"/>
              <w:rPr>
                <w:rFonts w:ascii="Times New Roman" w:hAnsi="Times New Roman" w:eastAsia="宋体" w:cs="Times New Roman"/>
                <w:color w:val="000000" w:themeColor="text1"/>
                <w:szCs w:val="21"/>
              </w:rPr>
            </w:pPr>
            <w:r>
              <w:rPr>
                <w:rFonts w:hint="eastAsia" w:ascii="Times New Roman" w:hAnsi="Times New Roman" w:eastAsia="宋体" w:cs="Times New Roman"/>
                <w:color w:val="000000" w:themeColor="text1"/>
                <w:szCs w:val="21"/>
                <w:lang w:bidi="ar"/>
              </w:rPr>
              <w:t xml:space="preserve">（1</w:t>
            </w:r>
            <w:r>
              <w:rPr>
                <w:rFonts w:hint="eastAsia" w:ascii="Times New Roman" w:hAnsi="Times New Roman" w:eastAsia="宋体" w:cs="Times New Roman"/>
                <w:color w:val="000000" w:themeColor="text1"/>
                <w:szCs w:val="21"/>
                <w:lang w:val="en-US" w:eastAsia="zh-CN" w:bidi="ar"/>
              </w:rPr>
              <w:t xml:space="preserve">6</w:t>
            </w:r>
            <w:r>
              <w:rPr>
                <w:rFonts w:hint="eastAsia" w:ascii="Times New Roman" w:hAnsi="Times New Roman" w:eastAsia="宋体" w:cs="Times New Roman"/>
                <w:color w:val="000000" w:themeColor="text1"/>
                <w:szCs w:val="21"/>
                <w:lang w:bidi="ar"/>
              </w:rPr>
              <w:t xml:space="preserve">分</w:t>
            </w:r>
            <w:r>
              <w:rPr>
                <w:rFonts w:hint="eastAsia" w:ascii="Times New Roman" w:hAnsi="Times New Roman" w:eastAsia="宋体" w:cs="Times New Roman"/>
                <w:color w:val="000000" w:themeColor="text1"/>
                <w:szCs w:val="21"/>
                <w:lang w:bidi="ar"/>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3286" w:type="pct"/>
            <w:vAlign w:val="center"/>
            <w:textDirection w:val="lrTb"/>
            <w:noWrap w:val="false"/>
          </w:tcPr>
          <w:p>
            <w:pPr>
              <w:jc w:val="lef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bidi="ar"/>
              </w:rPr>
              <w:t xml:space="preserve">1.投标人根据本项目第四章采购需求中“咨询服务方案要求”，提供科学合理的咨询服务方案，设计目标明确，结构层次划分清晰合理准确，提供针对本项目的咨询服务、绩效管理方案，</w:t>
            </w:r>
            <w:r>
              <w:rPr>
                <w:rFonts w:hint="eastAsia" w:ascii="Times New Roman" w:hAnsi="Times New Roman" w:eastAsia="宋体" w:cs="Times New Roman"/>
                <w:color w:val="000000" w:themeColor="text1"/>
                <w:sz w:val="24"/>
                <w:szCs w:val="24"/>
              </w:rPr>
              <w:t xml:space="preserve">方案至少包含：</w:t>
            </w:r>
            <w:r>
              <w:rPr>
                <w:rFonts w:hint="eastAsia" w:ascii="Times New Roman" w:hAnsi="Times New Roman" w:eastAsia="宋体" w:cs="Times New Roman"/>
                <w:color w:val="000000" w:themeColor="text1"/>
                <w:sz w:val="24"/>
                <w:szCs w:val="24"/>
                <w:lang w:bidi="ar"/>
              </w:rPr>
              <w:t xml:space="preserve">绩效管理方案，涵盖绩效指标设计、评估方法与持续改进机制；咨询方法与具体实施措施，例如访谈、调研、数据分析、专家评审等；其他与项目相关的管理咨询或技术咨询服务内容。</w:t>
            </w:r>
            <w:r>
              <w:rPr>
                <w:rFonts w:hint="eastAsia" w:ascii="Times New Roman" w:hAnsi="Times New Roman" w:eastAsia="宋体" w:cs="Times New Roman"/>
                <w:color w:val="000000" w:themeColor="text1"/>
                <w:sz w:val="24"/>
                <w:szCs w:val="24"/>
              </w:rPr>
              <w:t xml:space="preserve">方案应结构清晰，内容科学合理，具有前瞻性。</w:t>
            </w:r>
            <w:r>
              <w:rPr>
                <w:rFonts w:hint="eastAsia" w:ascii="Times New Roman" w:hAnsi="Times New Roman" w:eastAsia="宋体" w:cs="Times New Roman"/>
                <w:color w:val="000000" w:themeColor="text1"/>
                <w:sz w:val="24"/>
                <w:szCs w:val="24"/>
                <w:lang w:bidi="ar"/>
              </w:rPr>
              <w:t xml:space="preserve">方案优于要求的得8分，符合要求得7分，不符合要求或未提供的不得分。</w:t>
            </w:r>
            <w:r>
              <w:rPr>
                <w:color w:val="000000" w:themeColor="text1"/>
              </w:rPr>
            </w:r>
            <w:r/>
          </w:p>
          <w:p>
            <w:pPr>
              <w:jc w:val="lef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color w:val="000000" w:themeColor="text1"/>
              </w:rPr>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8</w:t>
            </w:r>
            <w:r/>
          </w:p>
        </w:tc>
      </w:tr>
      <w:tr>
        <w:trPr>
          <w:trHeight w:val="495"/>
        </w:trPr>
        <w:tc>
          <w:tcPr>
            <w:tcBorders>
              <w:top w:val="single" w:color="auto" w:sz="4" w:space="0"/>
              <w:left w:val="single" w:color="auto" w:sz="4" w:space="0"/>
              <w:bottom w:val="single" w:color="auto" w:sz="4" w:space="0"/>
              <w:right w:val="single" w:color="auto" w:sz="4" w:space="0"/>
            </w:tcBorders>
            <w:tcW w:w="490" w:type="pct"/>
            <w:vAlign w:val="center"/>
            <w:vMerge w:val="continue"/>
            <w:textDirection w:val="lrTb"/>
            <w:noWrap w:val="false"/>
          </w:tcPr>
          <w:p>
            <w:pPr>
              <w:rPr>
                <w:rFonts w:ascii="Calibri" w:hAnsi="Calibri" w:cs="Calibri"/>
                <w:sz w:val="20"/>
                <w:szCs w:val="20"/>
              </w:rPr>
            </w:pPr>
            <w:r>
              <w:rPr>
                <w:rFonts w:ascii="Calibri" w:hAnsi="Calibri" w:cs="Calibri"/>
                <w:sz w:val="20"/>
                <w:szCs w:val="20"/>
              </w:rPr>
            </w:r>
            <w:r/>
          </w:p>
        </w:tc>
        <w:tc>
          <w:tcPr>
            <w:tcBorders>
              <w:top w:val="single" w:color="auto" w:sz="4" w:space="0"/>
              <w:left w:val="single" w:color="auto" w:sz="4" w:space="0"/>
              <w:bottom w:val="single" w:color="auto" w:sz="4" w:space="0"/>
              <w:right w:val="single" w:color="auto" w:sz="4" w:space="0"/>
            </w:tcBorders>
            <w:tcW w:w="739" w:type="pct"/>
            <w:vAlign w:val="center"/>
            <w:vMerge w:val="continue"/>
            <w:textDirection w:val="lrTb"/>
            <w:noWrap w:val="false"/>
          </w:tcPr>
          <w:p>
            <w:pPr>
              <w:jc w:val="center"/>
              <w:rPr>
                <w:rFonts w:ascii="Calibri" w:hAnsi="Calibri" w:cs="Calibri"/>
                <w:sz w:val="20"/>
                <w:szCs w:val="20"/>
              </w:rPr>
            </w:pPr>
            <w:r>
              <w:rPr>
                <w:rFonts w:ascii="Calibri" w:hAnsi="Calibri" w:cs="Calibri"/>
                <w:sz w:val="20"/>
                <w:szCs w:val="20"/>
              </w:rPr>
            </w:r>
            <w:r/>
          </w:p>
        </w:tc>
        <w:tc>
          <w:tcPr>
            <w:tcBorders>
              <w:top w:val="single" w:color="auto" w:sz="4" w:space="0"/>
              <w:left w:val="single" w:color="auto" w:sz="4" w:space="0"/>
              <w:bottom w:val="single" w:color="auto" w:sz="4" w:space="0"/>
              <w:right w:val="single" w:color="auto" w:sz="4" w:space="0"/>
            </w:tcBorders>
            <w:tcW w:w="3286" w:type="pct"/>
            <w:vAlign w:val="center"/>
            <w:textDirection w:val="lrTb"/>
            <w:noWrap w:val="false"/>
          </w:tcPr>
          <w:p>
            <w:pPr>
              <w:jc w:val="lef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bidi="ar"/>
              </w:rPr>
              <w:t xml:space="preserve">2.投标人根据本项目第四章采购需求中“咨询服务方案要求”，提供科学合理的咨询服务方案，设计目标明确，结构层次划分清晰合理准确，提供针对本项目的审计服务方案，</w:t>
            </w:r>
            <w:r>
              <w:rPr>
                <w:rFonts w:hint="eastAsia" w:ascii="Times New Roman" w:hAnsi="Times New Roman" w:eastAsia="宋体" w:cs="Times New Roman"/>
                <w:color w:val="000000" w:themeColor="text1"/>
                <w:sz w:val="24"/>
                <w:szCs w:val="24"/>
              </w:rPr>
              <w:t xml:space="preserve">方案至少包含：</w:t>
            </w:r>
            <w:r>
              <w:rPr>
                <w:rFonts w:hint="eastAsia" w:ascii="Times New Roman" w:hAnsi="Times New Roman" w:eastAsia="宋体" w:cs="Times New Roman"/>
                <w:color w:val="000000" w:themeColor="text1"/>
                <w:sz w:val="24"/>
                <w:szCs w:val="24"/>
                <w:lang w:bidi="ar"/>
              </w:rPr>
              <w:t xml:space="preserve">审计程序、审计内容、审计报告编制及问题整改跟踪。</w:t>
            </w:r>
            <w:r>
              <w:rPr>
                <w:rFonts w:hint="eastAsia" w:ascii="Times New Roman" w:hAnsi="Times New Roman" w:eastAsia="宋体" w:cs="Times New Roman"/>
                <w:color w:val="000000" w:themeColor="text1"/>
                <w:sz w:val="24"/>
                <w:szCs w:val="24"/>
              </w:rPr>
              <w:t xml:space="preserve">方案应结构清晰，内容科学合理，具有前瞻性。</w:t>
            </w:r>
            <w:r>
              <w:rPr>
                <w:rFonts w:hint="eastAsia" w:ascii="Times New Roman" w:hAnsi="Times New Roman" w:eastAsia="宋体" w:cs="Times New Roman"/>
                <w:color w:val="000000" w:themeColor="text1"/>
                <w:sz w:val="24"/>
                <w:szCs w:val="24"/>
                <w:lang w:bidi="ar"/>
              </w:rPr>
              <w:t xml:space="preserve">方案优于要求的得</w:t>
            </w:r>
            <w:r>
              <w:rPr>
                <w:rFonts w:hint="eastAsia" w:ascii="Times New Roman" w:hAnsi="Times New Roman" w:eastAsia="宋体" w:cs="Times New Roman"/>
                <w:color w:val="000000" w:themeColor="text1"/>
                <w:sz w:val="24"/>
                <w:szCs w:val="24"/>
                <w:lang w:val="en-US" w:eastAsia="zh-CN" w:bidi="ar"/>
              </w:rPr>
              <w:t xml:space="preserve">8</w:t>
            </w:r>
            <w:r>
              <w:rPr>
                <w:rFonts w:hint="eastAsia" w:ascii="Times New Roman" w:hAnsi="Times New Roman" w:eastAsia="宋体" w:cs="Times New Roman"/>
                <w:color w:val="000000" w:themeColor="text1"/>
                <w:sz w:val="24"/>
                <w:szCs w:val="24"/>
                <w:lang w:bidi="ar"/>
              </w:rPr>
              <w:t xml:space="preserve">分，符合要求得</w:t>
            </w:r>
            <w:r>
              <w:rPr>
                <w:rFonts w:hint="eastAsia" w:ascii="Times New Roman" w:hAnsi="Times New Roman" w:eastAsia="宋体" w:cs="Times New Roman"/>
                <w:color w:val="000000" w:themeColor="text1"/>
                <w:sz w:val="24"/>
                <w:szCs w:val="24"/>
                <w:lang w:val="en-US" w:eastAsia="zh-CN" w:bidi="ar"/>
              </w:rPr>
              <w:t xml:space="preserve">7</w:t>
            </w:r>
            <w:r>
              <w:rPr>
                <w:rFonts w:hint="eastAsia" w:ascii="Times New Roman" w:hAnsi="Times New Roman" w:eastAsia="宋体" w:cs="Times New Roman"/>
                <w:color w:val="000000" w:themeColor="text1"/>
                <w:sz w:val="24"/>
                <w:szCs w:val="24"/>
                <w:lang w:bidi="ar"/>
              </w:rPr>
              <w:t xml:space="preserve">分，</w:t>
            </w:r>
            <w:r>
              <w:rPr>
                <w:rFonts w:hint="eastAsia" w:ascii="Times New Roman" w:hAnsi="Times New Roman" w:eastAsia="宋体" w:cs="Times New Roman"/>
                <w:color w:val="000000" w:themeColor="text1"/>
                <w:sz w:val="24"/>
                <w:szCs w:val="24"/>
                <w:lang w:bidi="ar"/>
              </w:rPr>
              <w:t xml:space="preserve">不符合要求或未提供的不得分。</w:t>
            </w:r>
            <w:r>
              <w:rPr>
                <w:color w:val="000000" w:themeColor="text1"/>
              </w:rPr>
            </w:r>
            <w:r/>
          </w:p>
          <w:p>
            <w:pPr>
              <w:jc w:val="lef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lang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color w:val="000000" w:themeColor="text1"/>
              </w:rPr>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widowControl/>
              <w:rPr>
                <w:rFonts w:hint="eastAsia" w:ascii="Times New Roman" w:hAnsi="Times New Roman" w:eastAsia="宋体" w:cs="Times New Roman"/>
                <w:color w:val="000000"/>
                <w:szCs w:val="21"/>
                <w:lang w:eastAsia="zh-CN"/>
              </w:rPr>
            </w:pPr>
            <w:r>
              <w:rPr>
                <w:rFonts w:hint="eastAsia" w:ascii="Times New Roman" w:hAnsi="Times New Roman" w:eastAsia="宋体" w:cs="Times New Roman"/>
                <w:color w:val="000000"/>
                <w:szCs w:val="21"/>
                <w:lang w:val="en-US" w:eastAsia="zh-CN" w:bidi="ar"/>
              </w:rPr>
              <w:t xml:space="preserve">8</w:t>
            </w:r>
            <w:r/>
          </w:p>
        </w:tc>
      </w:tr>
      <w:tr>
        <w:trPr>
          <w:trHeight w:val="1938"/>
        </w:trPr>
        <w:tc>
          <w:tcPr>
            <w:tcBorders>
              <w:top w:val="single" w:color="auto" w:sz="4" w:space="0"/>
              <w:left w:val="single" w:color="auto" w:sz="4" w:space="0"/>
              <w:bottom w:val="single" w:color="auto" w:sz="4" w:space="0"/>
              <w:right w:val="single" w:color="auto" w:sz="4" w:space="0"/>
            </w:tcBorders>
            <w:tcW w:w="490" w:type="pct"/>
            <w:vAlign w:val="center"/>
            <w:vMerge w:val="restart"/>
            <w:textDirection w:val="lrTb"/>
            <w:noWrap w:val="false"/>
          </w:tcPr>
          <w:p>
            <w:pPr>
              <w:jc w:val="center"/>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8</w:t>
            </w:r>
            <w:r/>
          </w:p>
        </w:tc>
        <w:tc>
          <w:tcPr>
            <w:tcBorders>
              <w:top w:val="single" w:color="auto" w:sz="4" w:space="0"/>
              <w:left w:val="single" w:color="auto" w:sz="4" w:space="0"/>
              <w:bottom w:val="single" w:color="auto" w:sz="4" w:space="0"/>
              <w:right w:val="single" w:color="auto" w:sz="4" w:space="0"/>
            </w:tcBorders>
            <w:tcW w:w="739" w:type="pct"/>
            <w:vAlign w:val="center"/>
            <w:vMerge w:val="restart"/>
            <w:textDirection w:val="lrTb"/>
            <w:noWrap w:val="false"/>
          </w:tcPr>
          <w:p>
            <w:pPr>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lang w:bidi="ar"/>
              </w:rPr>
              <w:t xml:space="preserve">实施服务方案</w:t>
            </w:r>
            <w:r/>
          </w:p>
          <w:p>
            <w:pPr>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lang w:bidi="ar"/>
              </w:rPr>
              <w:t xml:space="preserve">（</w:t>
            </w:r>
            <w:r>
              <w:rPr>
                <w:rFonts w:ascii="Times New Roman" w:hAnsi="Times New Roman" w:eastAsia="宋体" w:cs="Times New Roman"/>
                <w:color w:val="000000"/>
                <w:szCs w:val="21"/>
                <w:lang w:bidi="ar"/>
              </w:rPr>
              <w:t xml:space="preserve">9</w:t>
            </w:r>
            <w:r>
              <w:rPr>
                <w:rFonts w:hint="eastAsia" w:ascii="Times New Roman" w:hAnsi="Times New Roman" w:eastAsia="宋体" w:cs="Times New Roman"/>
                <w:color w:val="000000"/>
                <w:szCs w:val="21"/>
                <w:lang w:bidi="ar"/>
              </w:rPr>
              <w:t xml:space="preserve">分）</w:t>
            </w:r>
            <w:r/>
          </w:p>
        </w:tc>
        <w:tc>
          <w:tcPr>
            <w:tcBorders>
              <w:top w:val="single" w:color="auto" w:sz="4" w:space="0"/>
              <w:left w:val="single" w:color="auto" w:sz="4" w:space="0"/>
              <w:bottom w:val="single" w:color="auto" w:sz="4" w:space="0"/>
              <w:right w:val="single" w:color="auto" w:sz="4" w:space="0"/>
            </w:tcBorders>
            <w:tcW w:w="3286" w:type="pct"/>
            <w:vAlign w:val="center"/>
            <w:textDirection w:val="lrTb"/>
            <w:noWrap w:val="false"/>
          </w:tcPr>
          <w:p>
            <w:pPr>
              <w:jc w:val="left"/>
              <w:rPr>
                <w:rFonts w:ascii="Times New Roman" w:hAnsi="Times New Roman" w:eastAsia="宋体" w:cs="Times New Roman"/>
                <w:color w:val="000000"/>
                <w:szCs w:val="21"/>
                <w:lang w:bidi="ar"/>
              </w:rPr>
            </w:pPr>
            <w:r>
              <w:rPr>
                <w:rFonts w:hint="eastAsia" w:ascii="Times New Roman" w:hAnsi="Times New Roman" w:eastAsia="宋体" w:cs="Times New Roman"/>
                <w:color w:val="000000"/>
                <w:szCs w:val="21"/>
                <w:lang w:bidi="ar"/>
              </w:rPr>
              <w:t xml:space="preserve">1.投标人根据本项目第四章采购需求中“实施服务方案要求”，提供科学合理的实施服务方案，设计目标明确，结构层次划分清晰合理准确，提供详细的合同与信息管理方案，</w:t>
            </w:r>
            <w:r>
              <w:rPr>
                <w:rFonts w:hint="eastAsia" w:ascii="Times New Roman" w:hAnsi="Times New Roman" w:eastAsia="宋体" w:cs="Times New Roman"/>
                <w:color w:val="000000"/>
                <w:szCs w:val="21"/>
              </w:rPr>
              <w:t xml:space="preserve">方案至少包含：</w:t>
            </w:r>
            <w:r>
              <w:rPr>
                <w:rFonts w:hint="eastAsia" w:ascii="Times New Roman" w:hAnsi="Times New Roman" w:eastAsia="宋体" w:cs="Times New Roman"/>
                <w:color w:val="000000"/>
                <w:szCs w:val="21"/>
                <w:lang w:bidi="ar"/>
              </w:rPr>
              <w:t xml:space="preserve">合同管理方案，明确合同履行监督、索赔处理及争议解决机制；信息管理方案，包括信息采集、传递、存储及保密管理制度。</w:t>
            </w:r>
            <w:r>
              <w:rPr>
                <w:rFonts w:hint="eastAsia" w:ascii="Times New Roman" w:hAnsi="Times New Roman" w:eastAsia="宋体" w:cs="Times New Roman"/>
                <w:color w:val="000000"/>
                <w:szCs w:val="21"/>
              </w:rPr>
              <w:t xml:space="preserve">方案应结构清晰，内容科学合理，具有前瞻性。</w:t>
            </w:r>
            <w:r>
              <w:rPr>
                <w:rFonts w:hint="eastAsia" w:ascii="Times New Roman" w:hAnsi="Times New Roman" w:eastAsia="宋体" w:cs="Times New Roman"/>
                <w:color w:val="000000"/>
                <w:szCs w:val="21"/>
                <w:lang w:bidi="ar"/>
              </w:rPr>
              <w:t xml:space="preserve">方案优于要求的得5分，符合要求得4分，不符合要求或未提供的不得分。</w:t>
            </w:r>
            <w:r/>
          </w:p>
          <w:p>
            <w:pPr>
              <w:jc w:val="left"/>
              <w:rPr>
                <w:rFonts w:ascii="Times New Roman" w:hAnsi="Times New Roman" w:eastAsia="宋体" w:cs="Times New Roman"/>
                <w:color w:val="000000"/>
                <w:szCs w:val="21"/>
              </w:rPr>
            </w:pPr>
            <w:r>
              <w:rPr>
                <w:rFonts w:hint="eastAsia" w:ascii="Times New Roman" w:hAnsi="Times New Roman" w:eastAsia="宋体" w:cs="Times New Roman"/>
                <w:color w:val="000000"/>
                <w:szCs w:val="21"/>
                <w:lang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5</w:t>
            </w:r>
            <w:r/>
          </w:p>
        </w:tc>
      </w:tr>
      <w:tr>
        <w:trPr>
          <w:trHeight w:val="1938"/>
        </w:trPr>
        <w:tc>
          <w:tcPr>
            <w:tcBorders>
              <w:top w:val="single" w:color="auto" w:sz="4" w:space="0"/>
              <w:left w:val="single" w:color="auto" w:sz="4" w:space="0"/>
              <w:bottom w:val="single" w:color="auto" w:sz="4" w:space="0"/>
              <w:right w:val="single" w:color="auto" w:sz="4" w:space="0"/>
            </w:tcBorders>
            <w:tcW w:w="490" w:type="pct"/>
            <w:vAlign w:val="center"/>
            <w:vMerge w:val="continue"/>
            <w:textDirection w:val="lrTb"/>
            <w:noWrap w:val="false"/>
          </w:tcPr>
          <w:p>
            <w:pPr>
              <w:rPr>
                <w:rFonts w:ascii="Calibri" w:hAnsi="Calibri" w:cs="Calibri"/>
                <w:sz w:val="20"/>
                <w:szCs w:val="20"/>
              </w:rPr>
            </w:pPr>
            <w:r>
              <w:rPr>
                <w:rFonts w:ascii="Calibri" w:hAnsi="Calibri" w:cs="Calibri"/>
                <w:sz w:val="20"/>
                <w:szCs w:val="20"/>
              </w:rPr>
            </w:r>
            <w:r/>
          </w:p>
        </w:tc>
        <w:tc>
          <w:tcPr>
            <w:tcBorders>
              <w:top w:val="single" w:color="auto" w:sz="4" w:space="0"/>
              <w:left w:val="single" w:color="auto" w:sz="4" w:space="0"/>
              <w:bottom w:val="single" w:color="auto" w:sz="4" w:space="0"/>
              <w:right w:val="single" w:color="auto" w:sz="4" w:space="0"/>
            </w:tcBorders>
            <w:tcW w:w="739" w:type="pct"/>
            <w:vAlign w:val="center"/>
            <w:vMerge w:val="continue"/>
            <w:textDirection w:val="lrTb"/>
            <w:noWrap w:val="false"/>
          </w:tcPr>
          <w:p>
            <w:pPr>
              <w:jc w:val="center"/>
              <w:rPr>
                <w:rFonts w:ascii="Calibri" w:hAnsi="Calibri" w:cs="Calibri"/>
                <w:sz w:val="20"/>
                <w:szCs w:val="20"/>
              </w:rPr>
            </w:pPr>
            <w:r>
              <w:rPr>
                <w:rFonts w:ascii="Calibri" w:hAnsi="Calibri" w:cs="Calibri"/>
                <w:sz w:val="20"/>
                <w:szCs w:val="20"/>
              </w:rPr>
            </w:r>
            <w:r/>
          </w:p>
        </w:tc>
        <w:tc>
          <w:tcPr>
            <w:tcBorders>
              <w:top w:val="single" w:color="auto" w:sz="4" w:space="0"/>
              <w:left w:val="single" w:color="auto" w:sz="4" w:space="0"/>
              <w:bottom w:val="single" w:color="auto" w:sz="4" w:space="0"/>
              <w:right w:val="single" w:color="auto" w:sz="4" w:space="0"/>
            </w:tcBorders>
            <w:tcW w:w="3286" w:type="pct"/>
            <w:vAlign w:val="center"/>
            <w:textDirection w:val="lrTb"/>
            <w:noWrap w:val="false"/>
          </w:tcPr>
          <w:p>
            <w:pPr>
              <w:jc w:val="left"/>
              <w:rPr>
                <w:rFonts w:ascii="Times New Roman" w:hAnsi="Times New Roman" w:eastAsia="宋体" w:cs="Times New Roman"/>
                <w:color w:val="000000"/>
                <w:szCs w:val="21"/>
                <w:lang w:bidi="ar"/>
              </w:rPr>
            </w:pPr>
            <w:r>
              <w:rPr>
                <w:rFonts w:hint="eastAsia" w:ascii="Times New Roman" w:hAnsi="Times New Roman" w:eastAsia="宋体" w:cs="Times New Roman"/>
                <w:color w:val="000000"/>
                <w:szCs w:val="21"/>
                <w:lang w:bidi="ar"/>
              </w:rPr>
              <w:t xml:space="preserve">2.投标人根据本项目第四章采购需求中“实施服务方案要求”，提供科学合理的实施服务方案，设计目标明确，结构层次划分清晰合理准确，提供具体的现场组织协调实施方案，</w:t>
            </w:r>
            <w:r>
              <w:rPr>
                <w:rFonts w:hint="eastAsia" w:ascii="Times New Roman" w:hAnsi="Times New Roman" w:eastAsia="宋体" w:cs="Times New Roman"/>
                <w:color w:val="000000"/>
                <w:szCs w:val="21"/>
              </w:rPr>
              <w:t xml:space="preserve">方案至少包含：</w:t>
            </w:r>
            <w:r>
              <w:rPr>
                <w:rFonts w:hint="eastAsia" w:ascii="Times New Roman" w:hAnsi="Times New Roman" w:eastAsia="宋体" w:cs="Times New Roman"/>
                <w:color w:val="000000"/>
                <w:szCs w:val="21"/>
                <w:lang w:bidi="ar"/>
              </w:rPr>
              <w:t xml:space="preserve">现场组织协调实施方案，涵盖人员配置、职责分工、协调流程及应急响应机制。</w:t>
            </w:r>
            <w:r>
              <w:rPr>
                <w:rFonts w:hint="eastAsia" w:ascii="Times New Roman" w:hAnsi="Times New Roman" w:eastAsia="宋体" w:cs="Times New Roman"/>
                <w:color w:val="000000"/>
                <w:szCs w:val="21"/>
              </w:rPr>
              <w:t xml:space="preserve">方案应结构清晰，内容科学合理，具有前瞻性。</w:t>
            </w:r>
            <w:r>
              <w:rPr>
                <w:rFonts w:hint="eastAsia" w:ascii="Times New Roman" w:hAnsi="Times New Roman" w:eastAsia="宋体" w:cs="Times New Roman"/>
                <w:color w:val="000000"/>
                <w:szCs w:val="21"/>
                <w:lang w:bidi="ar"/>
              </w:rPr>
              <w:t xml:space="preserve">方案优于要求的得4分，符合要求得3分，不符合要求或未提供的不得分。</w:t>
            </w:r>
            <w:r/>
          </w:p>
          <w:p>
            <w:pPr>
              <w:jc w:val="left"/>
              <w:rPr>
                <w:rFonts w:ascii="Times New Roman" w:hAnsi="Times New Roman" w:eastAsia="宋体" w:cs="Times New Roman"/>
                <w:color w:val="000000"/>
                <w:szCs w:val="21"/>
              </w:rPr>
            </w:pPr>
            <w:r>
              <w:rPr>
                <w:rFonts w:hint="eastAsia" w:ascii="Times New Roman" w:hAnsi="Times New Roman" w:eastAsia="宋体" w:cs="Times New Roman"/>
                <w:color w:val="000000"/>
                <w:szCs w:val="21"/>
                <w:lang w:bidi="ar"/>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lang w:bidi="ar"/>
              </w:rPr>
              <w:t xml:space="preserve">4</w:t>
            </w:r>
            <w:r/>
          </w:p>
        </w:tc>
      </w:tr>
    </w:tbl>
    <w:p>
      <w:pPr>
        <w:ind w:firstLine="480"/>
        <w:jc w:val="left"/>
        <w:spacing w:line="560" w:lineRule="exact"/>
        <w:widowControl/>
        <w:rPr>
          <w:rFonts w:hint="eastAsia" w:ascii="宋体" w:hAnsi="宋体" w:cs="宋体"/>
          <w:sz w:val="24"/>
          <w:szCs w:val="20"/>
          <w:lang w:bidi="ar"/>
        </w:rPr>
      </w:pPr>
      <w:r>
        <w:rPr>
          <w:rFonts w:hint="eastAsia" w:ascii="宋体" w:hAnsi="宋体" w:cs="宋体"/>
          <w:sz w:val="24"/>
          <w:szCs w:val="20"/>
          <w:lang w:bidi="ar"/>
        </w:rPr>
      </w:r>
      <w:r/>
    </w:p>
    <w:p>
      <w:pPr>
        <w:ind w:firstLine="482"/>
        <w:jc w:val="left"/>
        <w:spacing w:line="560" w:lineRule="exact"/>
        <w:widowControl/>
        <w:rPr>
          <w:rFonts w:ascii="Times New Roman" w:hAnsi="Times New Roman" w:eastAsia="宋体" w:cs="Times New Roman"/>
          <w:b/>
          <w:bCs/>
          <w:sz w:val="24"/>
          <w:szCs w:val="20"/>
        </w:rPr>
        <w:sectPr>
          <w:footnotePr/>
          <w:endnotePr/>
          <w:type w:val="nextPage"/>
          <w:pgSz w:w="11906" w:h="16838" w:orient="portrait"/>
          <w:pgMar w:top="1440" w:right="1633" w:bottom="1440" w:left="1633" w:header="737" w:footer="1134" w:gutter="0"/>
          <w:cols w:num="1" w:sep="0" w:space="425" w:equalWidth="1"/>
          <w:docGrid w:linePitch="360"/>
          <w:titlePg/>
        </w:sectPr>
        <w:outlineLvl w:val="2"/>
      </w:pPr>
      <w:r>
        <w:rPr>
          <w:rFonts w:ascii="Times New Roman" w:hAnsi="Times New Roman" w:eastAsia="宋体" w:cs="Times New Roman"/>
          <w:b/>
          <w:bCs/>
          <w:sz w:val="24"/>
          <w:szCs w:val="20"/>
        </w:rPr>
      </w:r>
      <w:r/>
    </w:p>
    <w:p>
      <w:pPr>
        <w:ind w:firstLine="482"/>
        <w:jc w:val="left"/>
        <w:spacing w:line="560" w:lineRule="exact"/>
        <w:widowControl/>
        <w:rPr>
          <w:rFonts w:ascii="Times New Roman" w:hAnsi="Times New Roman" w:eastAsia="Arial" w:cs="Times New Roman"/>
          <w:b/>
          <w:bCs/>
          <w:sz w:val="24"/>
          <w:szCs w:val="20"/>
        </w:rPr>
        <w:outlineLvl w:val="2"/>
      </w:pPr>
      <w:r>
        <w:rPr>
          <w:rFonts w:ascii="Times New Roman" w:hAnsi="Times New Roman" w:eastAsia="宋体" w:cs="Times New Roman"/>
          <w:b/>
          <w:bCs/>
          <w:sz w:val="24"/>
          <w:szCs w:val="20"/>
        </w:rPr>
        <w:t xml:space="preserve">分包四：商用密码应用测评服务</w:t>
      </w:r>
      <w:r/>
    </w:p>
    <w:p>
      <w:pPr>
        <w:ind w:firstLine="482"/>
        <w:jc w:val="left"/>
        <w:spacing w:line="56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t xml:space="preserve">本项目评分总分值为</w:t>
      </w:r>
      <w:r>
        <w:rPr>
          <w:rFonts w:ascii="Times New Roman" w:hAnsi="Times New Roman" w:eastAsia="Arial" w:cs="Times New Roman"/>
          <w:sz w:val="24"/>
          <w:szCs w:val="20"/>
        </w:rPr>
        <w:t xml:space="preserve">100</w:t>
      </w:r>
      <w:r>
        <w:rPr>
          <w:rFonts w:ascii="Times New Roman" w:hAnsi="Times New Roman" w:eastAsia="宋体" w:cs="Times New Roman"/>
          <w:sz w:val="24"/>
          <w:szCs w:val="20"/>
        </w:rPr>
        <w:t xml:space="preserve">分。</w:t>
      </w:r>
      <w:r/>
    </w:p>
    <w:tbl>
      <w:tblPr>
        <w:tblStyle w:val="74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346"/>
        <w:gridCol w:w="6031"/>
        <w:gridCol w:w="737"/>
      </w:tblGrid>
      <w:tr>
        <w:trPr>
          <w:trHeight w:val="340"/>
          <w:tblHeader/>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spacing w:line="500" w:lineRule="exact"/>
              <w:widowControl/>
              <w:rPr>
                <w:rFonts w:hint="eastAsia" w:asciiTheme="minorEastAsia" w:hAnsiTheme="minorEastAsia" w:cstheme="minorEastAsia"/>
                <w:b/>
                <w:sz w:val="24"/>
              </w:rPr>
            </w:pPr>
            <w:r>
              <w:rPr>
                <w:rFonts w:hint="eastAsia" w:asciiTheme="minorEastAsia" w:hAnsiTheme="minorEastAsia" w:cstheme="minorEastAsia"/>
                <w:b/>
                <w:sz w:val="24"/>
              </w:rPr>
              <w:t xml:space="preserve">序号</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center"/>
              <w:spacing w:line="500" w:lineRule="exact"/>
              <w:widowControl/>
              <w:rPr>
                <w:rFonts w:hint="eastAsia" w:asciiTheme="minorEastAsia" w:hAnsiTheme="minorEastAsia" w:cstheme="minorEastAsia"/>
                <w:b/>
                <w:sz w:val="24"/>
              </w:rPr>
            </w:pPr>
            <w:r>
              <w:rPr>
                <w:rFonts w:hint="eastAsia" w:asciiTheme="minorEastAsia" w:hAnsiTheme="minorEastAsia" w:cstheme="minorEastAsia"/>
                <w:b/>
                <w:sz w:val="24"/>
              </w:rPr>
              <w:t xml:space="preserve">评分项目</w:t>
            </w:r>
            <w:r/>
          </w:p>
        </w:tc>
        <w:tc>
          <w:tcPr>
            <w:tcBorders>
              <w:top w:val="single" w:color="000000" w:sz="4" w:space="0"/>
              <w:left w:val="single" w:color="000000" w:sz="4" w:space="0"/>
              <w:bottom w:val="single" w:color="000000" w:sz="4" w:space="0"/>
              <w:right w:val="single" w:color="000000" w:sz="4" w:space="0"/>
            </w:tcBorders>
            <w:tcW w:w="3405" w:type="pct"/>
            <w:vAlign w:val="center"/>
            <w:textDirection w:val="lrTb"/>
            <w:noWrap w:val="false"/>
          </w:tcPr>
          <w:p>
            <w:pPr>
              <w:jc w:val="center"/>
              <w:spacing w:line="500" w:lineRule="exact"/>
              <w:widowControl/>
              <w:rPr>
                <w:rFonts w:hint="eastAsia" w:asciiTheme="minorEastAsia" w:hAnsiTheme="minorEastAsia" w:cstheme="minorEastAsia"/>
                <w:b/>
                <w:sz w:val="24"/>
              </w:rPr>
            </w:pPr>
            <w:r>
              <w:rPr>
                <w:rFonts w:hint="eastAsia" w:asciiTheme="minorEastAsia" w:hAnsiTheme="minorEastAsia" w:cstheme="minorEastAsia"/>
                <w:b/>
                <w:sz w:val="24"/>
              </w:rPr>
              <w:t xml:space="preserve">评分办法</w:t>
            </w:r>
            <w:r/>
          </w:p>
        </w:tc>
        <w:tc>
          <w:tcPr>
            <w:tcW w:w="416" w:type="pct"/>
            <w:vAlign w:val="center"/>
            <w:textDirection w:val="lrTb"/>
            <w:noWrap w:val="false"/>
          </w:tcPr>
          <w:p>
            <w:pPr>
              <w:jc w:val="center"/>
              <w:spacing w:line="500" w:lineRule="exact"/>
              <w:widowControl/>
              <w:rPr>
                <w:rFonts w:hint="eastAsia" w:asciiTheme="minorEastAsia" w:hAnsiTheme="minorEastAsia" w:cstheme="minorEastAsia"/>
                <w:b/>
                <w:sz w:val="24"/>
              </w:rPr>
            </w:pPr>
            <w:r>
              <w:rPr>
                <w:rFonts w:hint="eastAsia" w:asciiTheme="minorEastAsia" w:hAnsiTheme="minorEastAsia" w:cstheme="minorEastAsia"/>
                <w:b/>
                <w:sz w:val="24"/>
              </w:rPr>
              <w:t xml:space="preserve">分值</w:t>
            </w:r>
            <w:r/>
          </w:p>
        </w:tc>
      </w:tr>
      <w:tr>
        <w:trPr>
          <w:trHeight w:val="714"/>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价格部分(10分)</w:t>
            </w:r>
            <w:r/>
          </w:p>
        </w:tc>
        <w:tc>
          <w:tcPr>
            <w:tcBorders>
              <w:top w:val="single" w:color="000000" w:sz="4" w:space="0"/>
              <w:left w:val="single" w:color="000000" w:sz="4" w:space="0"/>
              <w:bottom w:val="single" w:color="000000" w:sz="4" w:space="0"/>
              <w:right w:val="single" w:color="000000" w:sz="4" w:space="0"/>
            </w:tcBorders>
            <w:tcW w:w="3405" w:type="pct"/>
            <w:vAlign w:val="center"/>
            <w:textDirection w:val="lrTb"/>
            <w:noWrap w:val="false"/>
          </w:tcPr>
          <w:p>
            <w:pPr>
              <w:jc w:val="lef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满足招标文件要求且投标价格最低的投标报价为基准价，其价格分为满分。报价得分＝（评标基准价/投标报价）×10。</w:t>
            </w:r>
            <w:r/>
          </w:p>
        </w:tc>
        <w:tc>
          <w:tcPr>
            <w:tcW w:w="416" w:type="pct"/>
            <w:vAlign w:val="center"/>
            <w:textDirection w:val="lrTb"/>
            <w:noWrap w:val="false"/>
          </w:tcPr>
          <w:p>
            <w:pPr>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10</w:t>
            </w:r>
            <w:r/>
          </w:p>
        </w:tc>
      </w:tr>
      <w:tr>
        <w:trPr>
          <w:trHeight w:val="1028"/>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企业实力</w:t>
            </w:r>
            <w:r/>
          </w:p>
          <w:p>
            <w:pPr>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（16分）</w:t>
            </w:r>
            <w:r/>
          </w:p>
        </w:tc>
        <w:tc>
          <w:tcPr>
            <w:tcBorders>
              <w:top w:val="single" w:color="000000" w:sz="4" w:space="0"/>
              <w:left w:val="single" w:color="000000" w:sz="4" w:space="0"/>
              <w:bottom w:val="single" w:color="000000" w:sz="4" w:space="0"/>
              <w:right w:val="single" w:color="000000" w:sz="4" w:space="0"/>
            </w:tcBorders>
            <w:tcW w:w="3405" w:type="pct"/>
            <w:vAlign w:val="center"/>
            <w:textDirection w:val="lrTb"/>
            <w:noWrap w:val="false"/>
          </w:tcPr>
          <w:p>
            <w:pPr>
              <w:jc w:val="lef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1.</w:t>
            </w:r>
            <w:r>
              <w:rPr>
                <w:rFonts w:ascii="Times New Roman" w:hAnsi="Times New Roman" w:eastAsia="宋体" w:cs="Times New Roman"/>
                <w:color w:val="000000"/>
                <w:szCs w:val="21"/>
              </w:rPr>
              <w:t xml:space="preserve">投标人具有中国合格评定认可委员会认可的检验机构和检测实验室资质</w:t>
            </w:r>
            <w:r>
              <w:rPr>
                <w:rFonts w:hint="eastAsia" w:ascii="Times New Roman" w:hAnsi="Times New Roman" w:eastAsia="宋体" w:cs="Times New Roman"/>
                <w:color w:val="000000"/>
                <w:szCs w:val="21"/>
              </w:rPr>
              <w:t xml:space="preserve">，</w:t>
            </w:r>
            <w:r>
              <w:rPr>
                <w:rFonts w:ascii="Times New Roman" w:hAnsi="Times New Roman" w:eastAsia="宋体" w:cs="Times New Roman"/>
                <w:color w:val="000000"/>
                <w:szCs w:val="21"/>
              </w:rPr>
              <w:t xml:space="preserve">检验能力范围需明确包含商用密码应用安全性评估和信息安全风险评估，得</w:t>
            </w:r>
            <w:r>
              <w:rPr>
                <w:rFonts w:hint="eastAsia" w:ascii="Times New Roman" w:hAnsi="Times New Roman" w:eastAsia="宋体" w:cs="Times New Roman"/>
                <w:color w:val="000000"/>
                <w:szCs w:val="21"/>
              </w:rPr>
              <w:t xml:space="preserve">5</w:t>
            </w:r>
            <w:r>
              <w:rPr>
                <w:rFonts w:ascii="Times New Roman" w:hAnsi="Times New Roman" w:eastAsia="宋体" w:cs="Times New Roman"/>
                <w:color w:val="000000"/>
                <w:szCs w:val="21"/>
              </w:rPr>
              <w:t xml:space="preserve">分。</w:t>
            </w:r>
            <w:r/>
          </w:p>
          <w:p>
            <w:pPr>
              <w:jc w:val="lef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2.</w:t>
            </w:r>
            <w:r>
              <w:rPr>
                <w:rFonts w:ascii="Times New Roman" w:hAnsi="Times New Roman" w:eastAsia="宋体" w:cs="Times New Roman"/>
                <w:color w:val="000000"/>
                <w:szCs w:val="21"/>
              </w:rPr>
              <w:t xml:space="preserve">投标人具有中国国家认证认可监督管理委员会颁发的检验检测机构资质认定证书，得5分。</w:t>
            </w:r>
            <w:r/>
          </w:p>
          <w:p>
            <w:pPr>
              <w:jc w:val="lef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3.</w:t>
            </w:r>
            <w:r>
              <w:rPr>
                <w:rFonts w:ascii="Times New Roman" w:hAnsi="Times New Roman" w:eastAsia="宋体" w:cs="Times New Roman"/>
                <w:color w:val="000000"/>
                <w:szCs w:val="21"/>
              </w:rPr>
              <w:t xml:space="preserve">投标人具有省</w:t>
            </w:r>
            <w:r>
              <w:rPr>
                <w:rFonts w:hint="eastAsia" w:ascii="Times New Roman" w:hAnsi="Times New Roman" w:eastAsia="宋体" w:cs="Times New Roman"/>
                <w:color w:val="000000"/>
                <w:szCs w:val="21"/>
              </w:rPr>
              <w:t xml:space="preserve">级</w:t>
            </w:r>
            <w:r>
              <w:rPr>
                <w:rFonts w:ascii="Times New Roman" w:hAnsi="Times New Roman" w:eastAsia="宋体" w:cs="Times New Roman"/>
                <w:color w:val="000000"/>
                <w:szCs w:val="21"/>
              </w:rPr>
              <w:t xml:space="preserve">市场监督管理局颁发的检验检测机构资质认定证书，得</w:t>
            </w:r>
            <w:r>
              <w:rPr>
                <w:rFonts w:hint="eastAsia" w:ascii="Times New Roman" w:hAnsi="Times New Roman" w:eastAsia="宋体" w:cs="Times New Roman"/>
                <w:color w:val="000000"/>
                <w:szCs w:val="21"/>
              </w:rPr>
              <w:t xml:space="preserve">3</w:t>
            </w:r>
            <w:r>
              <w:rPr>
                <w:rFonts w:ascii="Times New Roman" w:hAnsi="Times New Roman" w:eastAsia="宋体" w:cs="Times New Roman"/>
                <w:color w:val="000000"/>
                <w:szCs w:val="21"/>
              </w:rPr>
              <w:t xml:space="preserve">分</w:t>
            </w:r>
            <w:r>
              <w:rPr>
                <w:rFonts w:hint="eastAsia" w:ascii="Times New Roman" w:hAnsi="Times New Roman" w:eastAsia="宋体" w:cs="Times New Roman"/>
                <w:color w:val="000000"/>
                <w:szCs w:val="21"/>
              </w:rPr>
              <w:t xml:space="preserve">。</w:t>
            </w:r>
            <w:r/>
          </w:p>
          <w:p>
            <w:pPr>
              <w:jc w:val="lef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4.投标人具有合法合规密码检测工具的得3分（若使用自主研发工具须提供工具的著作权证明及有效性验证报告；若使用第三方工具须提供工具采购合同或租赁证明）。</w:t>
            </w:r>
            <w:r/>
          </w:p>
          <w:p>
            <w:pPr>
              <w:jc w:val="lef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注：上述响应文件中须提供相关佐证材料原件扫描件并加盖投标人公章，否则不得分。</w:t>
            </w:r>
            <w:r/>
          </w:p>
        </w:tc>
        <w:tc>
          <w:tcPr>
            <w:tcW w:w="416" w:type="pct"/>
            <w:vAlign w:val="center"/>
            <w:textDirection w:val="lrTb"/>
            <w:noWrap w:val="false"/>
          </w:tcPr>
          <w:p>
            <w:pPr>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16</w:t>
            </w:r>
            <w:r/>
          </w:p>
        </w:tc>
      </w:tr>
      <w:tr>
        <w:trPr>
          <w:trHeight w:val="714"/>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center"/>
              <w:rPr>
                <w:rFonts w:ascii="Times New Roman" w:hAnsi="Times New Roman" w:eastAsia="宋体" w:cs="Times New Roman"/>
                <w:color w:val="auto"/>
                <w:szCs w:val="21"/>
              </w:rPr>
            </w:pPr>
            <w:r>
              <w:rPr>
                <w:rFonts w:hint="eastAsia" w:ascii="Times New Roman" w:hAnsi="Times New Roman" w:eastAsia="宋体" w:cs="Times New Roman"/>
                <w:color w:val="auto"/>
                <w:szCs w:val="21"/>
              </w:rPr>
              <w:t xml:space="preserve">团队能力</w:t>
            </w:r>
            <w:r/>
          </w:p>
          <w:p>
            <w:pPr>
              <w:jc w:val="center"/>
              <w:rPr>
                <w:rFonts w:ascii="Times New Roman" w:hAnsi="Times New Roman" w:eastAsia="宋体" w:cs="Times New Roman"/>
                <w:color w:val="auto"/>
                <w:szCs w:val="21"/>
              </w:rPr>
            </w:pPr>
            <w:r>
              <w:rPr>
                <w:rFonts w:hint="eastAsia" w:ascii="Times New Roman" w:hAnsi="Times New Roman" w:eastAsia="宋体" w:cs="Times New Roman"/>
                <w:color w:val="auto"/>
                <w:szCs w:val="21"/>
              </w:rPr>
              <w:t xml:space="preserve">（16分）</w:t>
            </w:r>
            <w:r/>
          </w:p>
        </w:tc>
        <w:tc>
          <w:tcPr>
            <w:tcBorders>
              <w:top w:val="single" w:color="000000" w:sz="4" w:space="0"/>
              <w:left w:val="single" w:color="000000" w:sz="4" w:space="0"/>
              <w:bottom w:val="single" w:color="000000" w:sz="4" w:space="0"/>
              <w:right w:val="single" w:color="000000" w:sz="4" w:space="0"/>
            </w:tcBorders>
            <w:tcW w:w="3405" w:type="pct"/>
            <w:vAlign w:val="center"/>
            <w:textDirection w:val="lrTb"/>
            <w:noWrap w:val="false"/>
          </w:tcPr>
          <w:p>
            <w:pPr>
              <w:jc w:val="left"/>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 xml:space="preserve">1.项目经理：</w:t>
            </w:r>
            <w:r>
              <w:rPr>
                <w:rFonts w:hint="eastAsia" w:ascii="Times New Roman" w:hAnsi="Times New Roman" w:eastAsia="宋体" w:cs="Times New Roman"/>
                <w:color w:val="auto"/>
                <w:sz w:val="24"/>
                <w:szCs w:val="24"/>
              </w:rPr>
              <w:t xml:space="preserve">具有国家密码管理局商用密码检测中心或国家密码管理局商用密码管理办公室或国家商用密码应用安全性评估人员测评能力考核小组颁发的商用密码应用安全性评估人员测评能力考核成绩合格证书基础上，具有人力资源和社会保障部门颁发的电子信息工程专业高级工程师职称的得4分。</w:t>
            </w:r>
            <w:r/>
          </w:p>
          <w:p>
            <w:pPr>
              <w:jc w:val="left"/>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2</w:t>
            </w:r>
            <w:r>
              <w:rPr>
                <w:rFonts w:ascii="Times New Roman" w:hAnsi="Times New Roman" w:eastAsia="宋体" w:cs="Times New Roman"/>
                <w:color w:val="auto"/>
                <w:sz w:val="24"/>
                <w:szCs w:val="24"/>
              </w:rPr>
              <w:t xml:space="preserve">.</w:t>
            </w:r>
            <w:r>
              <w:rPr>
                <w:rFonts w:hint="eastAsia" w:ascii="Times New Roman" w:hAnsi="Times New Roman" w:eastAsia="宋体" w:cs="Times New Roman"/>
                <w:color w:val="auto"/>
                <w:sz w:val="24"/>
                <w:szCs w:val="24"/>
              </w:rPr>
              <w:t xml:space="preserve">技术负责人</w:t>
            </w:r>
            <w:r>
              <w:rPr>
                <w:rFonts w:ascii="Times New Roman" w:hAnsi="Times New Roman" w:eastAsia="宋体" w:cs="Times New Roman"/>
                <w:color w:val="auto"/>
                <w:sz w:val="24"/>
                <w:szCs w:val="24"/>
              </w:rPr>
              <w:t xml:space="preserve">：</w:t>
            </w:r>
            <w:r>
              <w:rPr>
                <w:rFonts w:hint="eastAsia" w:ascii="Times New Roman" w:hAnsi="Times New Roman" w:eastAsia="宋体" w:cs="Times New Roman"/>
                <w:color w:val="auto"/>
                <w:sz w:val="24"/>
                <w:szCs w:val="24"/>
              </w:rPr>
              <w:t xml:space="preserve">具有国家密码管理局商用密码检测中心或国家密码管理局商用密码管理办公室或国家商用密码应用安全性评估人员测评能力考核小组颁发的商用密码应用安全性评估人员测评能力考核成绩合格证书基础上，具有人力资源和社会保障部门颁发的电子信息工程专业中级以上</w:t>
            </w:r>
            <w:r>
              <w:rPr>
                <w:rFonts w:hint="eastAsia" w:ascii="Times New Roman" w:hAnsi="Times New Roman" w:eastAsia="宋体" w:cs="Times New Roman"/>
                <w:color w:val="auto"/>
                <w:sz w:val="24"/>
                <w:szCs w:val="24"/>
                <w:lang w:val="en-US" w:eastAsia="zh-CN"/>
              </w:rPr>
              <w:t xml:space="preserve">工程师</w:t>
            </w:r>
            <w:r>
              <w:rPr>
                <w:rFonts w:hint="eastAsia" w:ascii="Times New Roman" w:hAnsi="Times New Roman" w:eastAsia="宋体" w:cs="Times New Roman"/>
                <w:color w:val="auto"/>
                <w:sz w:val="24"/>
                <w:szCs w:val="24"/>
              </w:rPr>
              <w:t xml:space="preserve">职称证书的得4分。</w:t>
            </w:r>
            <w:r/>
          </w:p>
          <w:p>
            <w:pPr>
              <w:jc w:val="left"/>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3</w:t>
            </w:r>
            <w:r>
              <w:rPr>
                <w:rFonts w:ascii="Times New Roman" w:hAnsi="Times New Roman" w:eastAsia="宋体" w:cs="Times New Roman"/>
                <w:color w:val="auto"/>
                <w:sz w:val="24"/>
                <w:szCs w:val="24"/>
              </w:rPr>
              <w:t xml:space="preserve">.项目组成员（除项目经理</w:t>
            </w:r>
            <w:r>
              <w:rPr>
                <w:rFonts w:hint="eastAsia" w:ascii="Times New Roman" w:hAnsi="Times New Roman" w:eastAsia="宋体" w:cs="Times New Roman"/>
                <w:color w:val="auto"/>
                <w:sz w:val="24"/>
                <w:szCs w:val="24"/>
              </w:rPr>
              <w:t xml:space="preserve">、技术负责人</w:t>
            </w:r>
            <w:r>
              <w:rPr>
                <w:rFonts w:ascii="Times New Roman" w:hAnsi="Times New Roman" w:eastAsia="宋体" w:cs="Times New Roman"/>
                <w:color w:val="auto"/>
                <w:sz w:val="24"/>
                <w:szCs w:val="24"/>
              </w:rPr>
              <w:t xml:space="preserve">以外）</w:t>
            </w:r>
            <w:r>
              <w:rPr>
                <w:rFonts w:hint="eastAsia" w:ascii="Times New Roman" w:hAnsi="Times New Roman" w:eastAsia="宋体" w:cs="Times New Roman"/>
                <w:color w:val="auto"/>
                <w:sz w:val="24"/>
                <w:szCs w:val="24"/>
              </w:rPr>
              <w:t xml:space="preserve">：具有国家密码管理局商用密码检测中心或国家密码管理局商用密码管理办公室或国家商用密码应用安全性评估人员测评能力考核小组颁发的商用密码应用安全性评估人员测评能力考核成绩合格证书，每提供1人得2分，最多得8分。</w:t>
            </w:r>
            <w:r/>
          </w:p>
          <w:p>
            <w:pPr>
              <w:jc w:val="left"/>
              <w:rPr>
                <w:rFonts w:ascii="Times New Roman" w:hAnsi="Times New Roman" w:eastAsia="宋体" w:cs="Times New Roman"/>
                <w:color w:val="auto"/>
                <w:szCs w:val="21"/>
              </w:rPr>
            </w:pPr>
            <w:r>
              <w:rPr>
                <w:rFonts w:hint="eastAsia" w:ascii="Times New Roman" w:hAnsi="Times New Roman" w:eastAsia="宋体" w:cs="Times New Roman"/>
                <w:color w:val="auto"/>
                <w:sz w:val="24"/>
                <w:szCs w:val="24"/>
              </w:rPr>
              <w:t xml:space="preserve">注：①上述证明材料以原件的扫描件并加盖投标人公章进行计分；②以上所有人员需提供</w:t>
            </w:r>
            <w:r>
              <w:rPr>
                <w:rFonts w:hint="eastAsia" w:ascii="Times New Roman" w:hAnsi="Times New Roman" w:eastAsia="宋体" w:cs="Times New Roman"/>
                <w:color w:val="auto"/>
                <w:sz w:val="24"/>
                <w:szCs w:val="24"/>
                <w:lang w:eastAsia="zh-CN"/>
              </w:rPr>
              <w:t xml:space="preserve">投标人</w:t>
            </w:r>
            <w:r>
              <w:rPr>
                <w:rFonts w:hint="eastAsia" w:ascii="Times New Roman" w:hAnsi="Times New Roman" w:eastAsia="宋体" w:cs="Times New Roman"/>
                <w:color w:val="auto"/>
                <w:sz w:val="24"/>
                <w:szCs w:val="24"/>
              </w:rPr>
              <w:t xml:space="preserve">投标前3个月内任意1个月缴纳社保的证明材料并加盖投标人公章。</w:t>
            </w:r>
            <w:r/>
          </w:p>
        </w:tc>
        <w:tc>
          <w:tcPr>
            <w:tcW w:w="416" w:type="pct"/>
            <w:vAlign w:val="center"/>
            <w:textDirection w:val="lrTb"/>
            <w:noWrap w:val="false"/>
          </w:tcPr>
          <w:p>
            <w:pPr>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16</w:t>
            </w:r>
            <w:r/>
          </w:p>
        </w:tc>
      </w:tr>
      <w:tr>
        <w:trPr>
          <w:trHeight w:val="714"/>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760" w:type="pct"/>
            <w:vAlign w:val="center"/>
            <w:textDirection w:val="lrTb"/>
            <w:noWrap w:val="false"/>
          </w:tcPr>
          <w:p>
            <w:pPr>
              <w:jc w:val="center"/>
              <w:rPr>
                <w:rFonts w:ascii="Times New Roman" w:hAnsi="Times New Roman" w:eastAsia="宋体" w:cs="Times New Roman"/>
                <w:color w:val="000000" w:themeColor="text1"/>
                <w:szCs w:val="21"/>
              </w:rPr>
            </w:pPr>
            <w:r>
              <w:rPr>
                <w:rFonts w:hint="eastAsia" w:ascii="Times New Roman" w:hAnsi="Times New Roman" w:eastAsia="宋体" w:cs="Times New Roman"/>
                <w:color w:val="000000" w:themeColor="text1"/>
                <w:szCs w:val="21"/>
              </w:rPr>
              <w:t xml:space="preserve">业绩</w:t>
            </w:r>
            <w:r>
              <w:rPr>
                <w:color w:val="000000" w:themeColor="text1"/>
              </w:rPr>
            </w:r>
            <w:r/>
          </w:p>
          <w:p>
            <w:pPr>
              <w:jc w:val="center"/>
              <w:rPr>
                <w:rFonts w:ascii="Times New Roman" w:hAnsi="Times New Roman" w:eastAsia="宋体" w:cs="Times New Roman"/>
                <w:color w:val="000000" w:themeColor="text1"/>
                <w:szCs w:val="21"/>
              </w:rPr>
            </w:pPr>
            <w:r>
              <w:rPr>
                <w:rFonts w:hint="eastAsia" w:ascii="Times New Roman" w:hAnsi="Times New Roman" w:eastAsia="宋体" w:cs="Times New Roman"/>
                <w:color w:val="000000" w:themeColor="text1"/>
                <w:szCs w:val="21"/>
              </w:rPr>
              <w:t xml:space="preserve">（</w:t>
            </w:r>
            <w:r>
              <w:rPr>
                <w:rFonts w:hint="eastAsia" w:ascii="Times New Roman" w:hAnsi="Times New Roman" w:eastAsia="宋体" w:cs="Times New Roman"/>
                <w:color w:val="000000" w:themeColor="text1"/>
                <w:szCs w:val="21"/>
                <w:lang w:val="en-US" w:eastAsia="zh-CN"/>
              </w:rPr>
              <w:t xml:space="preserve">15</w:t>
            </w:r>
            <w:r>
              <w:rPr>
                <w:rFonts w:hint="eastAsia" w:ascii="Times New Roman" w:hAnsi="Times New Roman" w:eastAsia="宋体" w:cs="Times New Roman"/>
                <w:color w:val="000000" w:themeColor="text1"/>
                <w:szCs w:val="21"/>
              </w:rPr>
              <w:t xml:space="preserve">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3405" w:type="pct"/>
            <w:vAlign w:val="center"/>
            <w:textDirection w:val="lrTb"/>
            <w:noWrap w:val="false"/>
          </w:tcPr>
          <w:p>
            <w:pPr>
              <w:jc w:val="left"/>
              <w:rPr>
                <w:rFonts w:ascii="Times New Roman" w:hAnsi="Times New Roman" w:eastAsia="宋体" w:cs="Times New Roman"/>
                <w:color w:val="000000" w:themeColor="text1"/>
                <w:szCs w:val="21"/>
              </w:rPr>
            </w:pPr>
            <w:r>
              <w:rPr>
                <w:rFonts w:hint="eastAsia" w:ascii="Times New Roman" w:hAnsi="Times New Roman" w:eastAsia="宋体" w:cs="Times New Roman"/>
                <w:color w:val="000000" w:themeColor="text1"/>
                <w:szCs w:val="21"/>
              </w:rPr>
              <w:t xml:space="preserve">2022年1月1日以来（以合同签订日期为准），投标人具有类似项目业绩（类似项目业绩是指商用密码应用测评服务项目），每提供一个</w:t>
            </w:r>
            <w:r>
              <w:rPr>
                <w:rFonts w:hint="eastAsia" w:ascii="Times New Roman" w:hAnsi="Times New Roman" w:eastAsia="宋体" w:cs="Times New Roman"/>
                <w:color w:val="000000" w:themeColor="text1"/>
                <w:szCs w:val="21"/>
                <w:lang w:val="en-US" w:eastAsia="zh-CN"/>
              </w:rPr>
              <w:t xml:space="preserve">有效</w:t>
            </w:r>
            <w:r>
              <w:rPr>
                <w:rFonts w:hint="eastAsia" w:ascii="Times New Roman" w:hAnsi="Times New Roman" w:eastAsia="宋体" w:cs="Times New Roman"/>
                <w:color w:val="000000" w:themeColor="text1"/>
                <w:szCs w:val="21"/>
              </w:rPr>
              <w:t xml:space="preserve">业绩得</w:t>
            </w:r>
            <w:r>
              <w:rPr>
                <w:rFonts w:hint="eastAsia" w:ascii="Times New Roman" w:hAnsi="Times New Roman" w:eastAsia="宋体" w:cs="Times New Roman"/>
                <w:color w:val="000000" w:themeColor="text1"/>
                <w:szCs w:val="21"/>
                <w:lang w:val="en-US" w:eastAsia="zh-CN"/>
              </w:rPr>
              <w:t xml:space="preserve">3</w:t>
            </w:r>
            <w:r>
              <w:rPr>
                <w:rFonts w:hint="eastAsia" w:ascii="Times New Roman" w:hAnsi="Times New Roman" w:eastAsia="宋体" w:cs="Times New Roman"/>
                <w:color w:val="000000" w:themeColor="text1"/>
                <w:szCs w:val="21"/>
              </w:rPr>
              <w:t xml:space="preserve">分，本项最高得</w:t>
            </w:r>
            <w:r>
              <w:rPr>
                <w:rFonts w:hint="eastAsia" w:ascii="Times New Roman" w:hAnsi="Times New Roman" w:eastAsia="宋体" w:cs="Times New Roman"/>
                <w:color w:val="000000" w:themeColor="text1"/>
                <w:szCs w:val="21"/>
                <w:lang w:val="en-US" w:eastAsia="zh-CN"/>
              </w:rPr>
              <w:t xml:space="preserve">15</w:t>
            </w:r>
            <w:r>
              <w:rPr>
                <w:rFonts w:hint="eastAsia" w:ascii="Times New Roman" w:hAnsi="Times New Roman" w:eastAsia="宋体" w:cs="Times New Roman"/>
                <w:color w:val="000000" w:themeColor="text1"/>
                <w:szCs w:val="21"/>
              </w:rPr>
              <w:t xml:space="preserve">分。</w:t>
            </w:r>
            <w:r>
              <w:rPr>
                <w:color w:val="000000" w:themeColor="text1"/>
              </w:rPr>
            </w:r>
            <w:r/>
          </w:p>
          <w:p>
            <w:pPr>
              <w:jc w:val="left"/>
              <w:rPr>
                <w:rFonts w:ascii="Times New Roman" w:hAnsi="Times New Roman" w:eastAsia="宋体" w:cs="Times New Roman"/>
                <w:color w:val="000000" w:themeColor="text1"/>
                <w:szCs w:val="21"/>
              </w:rPr>
            </w:pPr>
            <w:r>
              <w:rPr>
                <w:rFonts w:hint="eastAsia" w:ascii="Times New Roman" w:hAnsi="Times New Roman" w:eastAsia="宋体" w:cs="Times New Roman"/>
                <w:color w:val="000000" w:themeColor="text1"/>
                <w:szCs w:val="21"/>
              </w:rPr>
              <w:t xml:space="preserve">注：需提供合同关键页扫描件（合同关键页包括但不限于合同首页、合同签订日期页、双方盖章页等关键页）作为得分依据；未提供或评标委员会无法凭所提供资料判断是否得分的情况，一律作不得分处理。</w:t>
            </w:r>
            <w:r>
              <w:rPr>
                <w:color w:val="000000" w:themeColor="text1"/>
              </w:rPr>
            </w:r>
            <w:r/>
          </w:p>
        </w:tc>
        <w:tc>
          <w:tcPr>
            <w:tcW w:w="416" w:type="pct"/>
            <w:vAlign w:val="center"/>
            <w:textDirection w:val="lrTb"/>
            <w:noWrap w:val="false"/>
          </w:tcPr>
          <w:p>
            <w:pPr>
              <w:jc w:val="center"/>
              <w:rPr>
                <w:rFonts w:hint="default" w:ascii="Times New Roman" w:hAnsi="Times New Roman" w:eastAsia="宋体" w:cs="Times New Roman"/>
                <w:color w:val="000000" w:themeColor="text1"/>
                <w:szCs w:val="21"/>
              </w:rPr>
            </w:pPr>
            <w:r>
              <w:rPr>
                <w:rFonts w:hint="eastAsia" w:ascii="Times New Roman" w:hAnsi="Times New Roman" w:eastAsia="宋体" w:cs="Times New Roman"/>
                <w:color w:val="000000" w:themeColor="text1"/>
                <w:szCs w:val="21"/>
                <w:lang w:val="en-US" w:eastAsia="zh-CN"/>
              </w:rPr>
              <w:t xml:space="preserve">15</w:t>
            </w:r>
            <w:r>
              <w:rPr>
                <w:color w:val="000000" w:themeColor="text1"/>
              </w:rPr>
            </w:r>
            <w:r/>
          </w:p>
        </w:tc>
      </w:tr>
      <w:tr>
        <w:trPr>
          <w:trHeight w:val="340"/>
        </w:trPr>
        <w:tc>
          <w:tcPr>
            <w:tcBorders>
              <w:top w:val="single" w:color="000000" w:sz="4" w:space="0"/>
              <w:left w:val="single" w:color="000000" w:sz="4" w:space="0"/>
              <w:right w:val="single" w:color="000000" w:sz="4" w:space="0"/>
            </w:tcBorders>
            <w:tcW w:w="419" w:type="pct"/>
            <w:vAlign w:val="center"/>
            <w:vMerge w:val="restart"/>
            <w:textDirection w:val="lrTb"/>
            <w:noWrap w:val="false"/>
          </w:tcPr>
          <w:p>
            <w:pPr>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5</w:t>
            </w:r>
            <w:r/>
          </w:p>
        </w:tc>
        <w:tc>
          <w:tcPr>
            <w:tcBorders>
              <w:top w:val="single" w:color="000000" w:sz="4" w:space="0"/>
              <w:left w:val="single" w:color="000000" w:sz="4" w:space="0"/>
              <w:right w:val="single" w:color="000000" w:sz="4" w:space="0"/>
            </w:tcBorders>
            <w:tcW w:w="760" w:type="pct"/>
            <w:vAlign w:val="center"/>
            <w:vMerge w:val="restart"/>
            <w:textDirection w:val="lrTb"/>
            <w:noWrap w:val="false"/>
          </w:tcPr>
          <w:p>
            <w:pPr>
              <w:jc w:val="center"/>
              <w:rPr>
                <w:rFonts w:ascii="Times New Roman" w:hAnsi="Times New Roman" w:eastAsia="宋体" w:cs="Times New Roman"/>
                <w:color w:val="000000" w:themeColor="text1"/>
                <w:szCs w:val="21"/>
              </w:rPr>
            </w:pPr>
            <w:r>
              <w:rPr>
                <w:rFonts w:hint="eastAsia" w:ascii="Times New Roman" w:hAnsi="Times New Roman" w:eastAsia="宋体" w:cs="Times New Roman"/>
                <w:color w:val="000000" w:themeColor="text1"/>
                <w:szCs w:val="21"/>
              </w:rPr>
              <w:t xml:space="preserve">技术方案</w:t>
            </w:r>
            <w:r>
              <w:rPr>
                <w:color w:val="000000" w:themeColor="text1"/>
              </w:rPr>
            </w:r>
            <w:r/>
          </w:p>
          <w:p>
            <w:pPr>
              <w:jc w:val="center"/>
              <w:rPr>
                <w:rFonts w:ascii="Times New Roman" w:hAnsi="Times New Roman" w:eastAsia="宋体" w:cs="Times New Roman"/>
                <w:color w:val="000000"/>
                <w:szCs w:val="21"/>
              </w:rPr>
            </w:pPr>
            <w:r>
              <w:rPr>
                <w:rFonts w:hint="eastAsia" w:ascii="Times New Roman" w:hAnsi="Times New Roman" w:eastAsia="宋体" w:cs="Times New Roman"/>
                <w:color w:val="000000" w:themeColor="text1"/>
                <w:szCs w:val="21"/>
              </w:rPr>
              <w:t xml:space="preserve">（</w:t>
            </w:r>
            <w:r>
              <w:rPr>
                <w:rFonts w:hint="eastAsia" w:ascii="Times New Roman" w:hAnsi="Times New Roman" w:eastAsia="宋体" w:cs="Times New Roman"/>
                <w:color w:val="000000" w:themeColor="text1"/>
                <w:szCs w:val="21"/>
                <w:lang w:val="en-US" w:eastAsia="zh-CN"/>
              </w:rPr>
              <w:t xml:space="preserve">43</w:t>
            </w:r>
            <w:r>
              <w:rPr>
                <w:rFonts w:hint="eastAsia" w:ascii="Times New Roman" w:hAnsi="Times New Roman" w:eastAsia="宋体" w:cs="Times New Roman"/>
                <w:color w:val="000000" w:themeColor="text1"/>
                <w:szCs w:val="21"/>
              </w:rPr>
              <w:t xml:space="preserve">分）</w:t>
            </w:r>
            <w:r/>
          </w:p>
        </w:tc>
        <w:tc>
          <w:tcPr>
            <w:tcBorders>
              <w:top w:val="single" w:color="000000" w:sz="4" w:space="0"/>
              <w:left w:val="single" w:color="000000" w:sz="4" w:space="0"/>
              <w:bottom w:val="single" w:color="000000" w:sz="4" w:space="0"/>
              <w:right w:val="single" w:color="000000" w:sz="4" w:space="0"/>
            </w:tcBorders>
            <w:tcW w:w="3405" w:type="pct"/>
            <w:vAlign w:val="center"/>
            <w:textDirection w:val="lrTb"/>
            <w:noWrap w:val="false"/>
          </w:tcPr>
          <w:p>
            <w:pPr>
              <w:jc w:val="lef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1.密码应用安全性评估实施方案：投标人根据本项目</w:t>
            </w:r>
            <w:r>
              <w:rPr>
                <w:rFonts w:ascii="Times New Roman" w:hAnsi="Times New Roman" w:eastAsia="宋体" w:cs="Times New Roman"/>
                <w:color w:val="000000"/>
                <w:sz w:val="24"/>
                <w:szCs w:val="24"/>
              </w:rPr>
              <w:t xml:space="preserve">第四章采购需求中</w:t>
            </w:r>
            <w:r>
              <w:rPr>
                <w:rFonts w:hint="eastAsia" w:ascii="Times New Roman" w:hAnsi="Times New Roman" w:eastAsia="宋体" w:cs="Times New Roman"/>
                <w:color w:val="000000"/>
                <w:sz w:val="24"/>
                <w:szCs w:val="24"/>
              </w:rPr>
              <w:t xml:space="preserve">“密码应用安全性评估实施要求”，提供科学合理的方案，方案至少包含：物理和环境安全评估、网络和通信安全评估、设备和计算安全评估、应用和数据安全评估等内容。方案应结构清晰，内容科学合理，具有前瞻性。方案优于要求的得</w:t>
            </w:r>
            <w:r>
              <w:rPr>
                <w:rFonts w:hint="eastAsia" w:ascii="Times New Roman" w:hAnsi="Times New Roman" w:eastAsia="宋体" w:cs="Times New Roman"/>
                <w:color w:val="000000"/>
                <w:sz w:val="24"/>
                <w:szCs w:val="24"/>
                <w:lang w:val="en-US" w:eastAsia="zh-CN"/>
              </w:rPr>
              <w:t xml:space="preserve">9</w:t>
            </w:r>
            <w:r>
              <w:rPr>
                <w:rFonts w:hint="eastAsia" w:ascii="Times New Roman" w:hAnsi="Times New Roman" w:eastAsia="宋体" w:cs="Times New Roman"/>
                <w:color w:val="000000"/>
                <w:sz w:val="24"/>
                <w:szCs w:val="24"/>
              </w:rPr>
              <w:t xml:space="preserve">分，符合要求得</w:t>
            </w:r>
            <w:r>
              <w:rPr>
                <w:rFonts w:hint="eastAsia" w:ascii="Times New Roman" w:hAnsi="Times New Roman" w:eastAsia="宋体" w:cs="Times New Roman"/>
                <w:color w:val="000000"/>
                <w:sz w:val="24"/>
                <w:szCs w:val="24"/>
                <w:lang w:val="en-US" w:eastAsia="zh-CN"/>
              </w:rPr>
              <w:t xml:space="preserve">8</w:t>
            </w:r>
            <w:r>
              <w:rPr>
                <w:rFonts w:hint="eastAsia" w:ascii="Times New Roman" w:hAnsi="Times New Roman" w:eastAsia="宋体" w:cs="Times New Roman"/>
                <w:color w:val="000000"/>
                <w:sz w:val="24"/>
                <w:szCs w:val="24"/>
              </w:rPr>
              <w:t xml:space="preserve">分，不符合要求或未提供的不得分。</w:t>
            </w:r>
            <w:r/>
          </w:p>
          <w:p>
            <w:pPr>
              <w:jc w:val="lef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416" w:type="pct"/>
            <w:vAlign w:val="center"/>
            <w:textDirection w:val="lrTb"/>
            <w:noWrap w:val="false"/>
          </w:tcPr>
          <w:p>
            <w:pPr>
              <w:jc w:val="center"/>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lang w:val="en-US" w:eastAsia="zh-CN"/>
              </w:rPr>
              <w:t xml:space="preserve">9</w:t>
            </w:r>
            <w:r/>
          </w:p>
        </w:tc>
      </w:tr>
      <w:tr>
        <w:trPr>
          <w:trHeight w:val="284"/>
        </w:trPr>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0" w:type="pct"/>
            <w:vAlign w:val="center"/>
            <w:vMerge w:val="continue"/>
            <w:textDirection w:val="lrTb"/>
            <w:noWrap w:val="false"/>
          </w:tcPr>
          <w:p>
            <w:pPr>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3405" w:type="pct"/>
            <w:vAlign w:val="center"/>
            <w:textDirection w:val="lrTb"/>
            <w:noWrap w:val="false"/>
          </w:tcPr>
          <w:p>
            <w:pPr>
              <w:jc w:val="lef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2.密钥管理测评实施方案：投标人根据</w:t>
            </w:r>
            <w:r>
              <w:rPr>
                <w:rFonts w:ascii="Times New Roman" w:hAnsi="Times New Roman" w:eastAsia="宋体" w:cs="Times New Roman"/>
                <w:color w:val="000000"/>
                <w:sz w:val="24"/>
                <w:szCs w:val="24"/>
              </w:rPr>
              <w:t xml:space="preserve">第四章采购需求中</w:t>
            </w:r>
            <w:r>
              <w:rPr>
                <w:rFonts w:hint="eastAsia" w:ascii="Times New Roman" w:hAnsi="Times New Roman" w:eastAsia="宋体" w:cs="Times New Roman"/>
                <w:color w:val="000000"/>
                <w:sz w:val="24"/>
                <w:szCs w:val="24"/>
              </w:rPr>
              <w:t xml:space="preserve">“密钥管理测评实施要求”，提供科学合理的方案，方案至少包含：密钥的生成、存储、分发、导入、导出、使用、备份、恢复、归档与销毁等环节测评内容。方案应结构清晰，内容科学合理，具有前瞻性。方案优于要求的得</w:t>
            </w:r>
            <w:r>
              <w:rPr>
                <w:rFonts w:hint="eastAsia" w:ascii="Times New Roman" w:hAnsi="Times New Roman" w:eastAsia="宋体" w:cs="Times New Roman"/>
                <w:color w:val="000000"/>
                <w:sz w:val="24"/>
                <w:szCs w:val="24"/>
                <w:lang w:val="en-US" w:eastAsia="zh-CN"/>
              </w:rPr>
              <w:t xml:space="preserve">9</w:t>
            </w:r>
            <w:r>
              <w:rPr>
                <w:rFonts w:hint="eastAsia" w:ascii="Times New Roman" w:hAnsi="Times New Roman" w:eastAsia="宋体" w:cs="Times New Roman"/>
                <w:color w:val="000000"/>
                <w:sz w:val="24"/>
                <w:szCs w:val="24"/>
              </w:rPr>
              <w:t xml:space="preserve">分，符合要求得</w:t>
            </w:r>
            <w:r>
              <w:rPr>
                <w:rFonts w:hint="eastAsia" w:ascii="Times New Roman" w:hAnsi="Times New Roman" w:eastAsia="宋体" w:cs="Times New Roman"/>
                <w:color w:val="000000"/>
                <w:sz w:val="24"/>
                <w:szCs w:val="24"/>
                <w:lang w:val="en-US" w:eastAsia="zh-CN"/>
              </w:rPr>
              <w:t xml:space="preserve">8</w:t>
            </w:r>
            <w:r>
              <w:rPr>
                <w:rFonts w:hint="eastAsia" w:ascii="Times New Roman" w:hAnsi="Times New Roman" w:eastAsia="宋体" w:cs="Times New Roman"/>
                <w:color w:val="000000"/>
                <w:sz w:val="24"/>
                <w:szCs w:val="24"/>
              </w:rPr>
              <w:t xml:space="preserve">分，不符合要求或未提供的不得分。</w:t>
            </w:r>
            <w:r/>
          </w:p>
          <w:p>
            <w:pPr>
              <w:jc w:val="lef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416" w:type="pct"/>
            <w:vAlign w:val="center"/>
            <w:textDirection w:val="lrTb"/>
            <w:noWrap w:val="false"/>
          </w:tcPr>
          <w:p>
            <w:pPr>
              <w:jc w:val="center"/>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lang w:val="en-US" w:eastAsia="zh-CN"/>
              </w:rPr>
              <w:t xml:space="preserve">9</w:t>
            </w:r>
            <w:r/>
          </w:p>
        </w:tc>
      </w:tr>
      <w:tr>
        <w:trPr>
          <w:trHeight w:val="2541"/>
        </w:trPr>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0" w:type="pct"/>
            <w:vAlign w:val="center"/>
            <w:vMerge w:val="continue"/>
            <w:textDirection w:val="lrTb"/>
            <w:noWrap w:val="false"/>
          </w:tcPr>
          <w:p>
            <w:pPr>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3405" w:type="pct"/>
            <w:vAlign w:val="center"/>
            <w:textDirection w:val="lrTb"/>
            <w:noWrap w:val="false"/>
          </w:tcPr>
          <w:p>
            <w:pPr>
              <w:jc w:val="lef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3.安全管理评估实施方案：投标人根据本项目</w:t>
            </w:r>
            <w:r>
              <w:rPr>
                <w:rFonts w:ascii="Times New Roman" w:hAnsi="Times New Roman" w:eastAsia="宋体" w:cs="Times New Roman"/>
                <w:color w:val="000000"/>
                <w:sz w:val="24"/>
                <w:szCs w:val="24"/>
              </w:rPr>
              <w:t xml:space="preserve">第四章采购需求中</w:t>
            </w:r>
            <w:r>
              <w:rPr>
                <w:rFonts w:hint="eastAsia" w:ascii="Times New Roman" w:hAnsi="Times New Roman" w:eastAsia="宋体" w:cs="Times New Roman"/>
                <w:color w:val="000000"/>
                <w:sz w:val="24"/>
                <w:szCs w:val="24"/>
              </w:rPr>
              <w:t xml:space="preserve">“安全管理评估实施要求”，提供科学合理的方案，方案至少包含：商用密码应用安全性管理制度设计、商用密码相关的系统运维管理制度设计等内容。方案应结构清晰，内容科学合理，具有前瞻性。方案优于要求的得</w:t>
            </w:r>
            <w:r>
              <w:rPr>
                <w:rFonts w:hint="eastAsia" w:ascii="Times New Roman" w:hAnsi="Times New Roman" w:eastAsia="宋体" w:cs="Times New Roman"/>
                <w:color w:val="000000"/>
                <w:sz w:val="24"/>
                <w:szCs w:val="24"/>
                <w:lang w:val="en-US" w:eastAsia="zh-CN"/>
              </w:rPr>
              <w:t xml:space="preserve">9</w:t>
            </w:r>
            <w:r>
              <w:rPr>
                <w:rFonts w:hint="eastAsia" w:ascii="Times New Roman" w:hAnsi="Times New Roman" w:eastAsia="宋体" w:cs="Times New Roman"/>
                <w:color w:val="000000"/>
                <w:sz w:val="24"/>
                <w:szCs w:val="24"/>
              </w:rPr>
              <w:t xml:space="preserve">分，符合要求得</w:t>
            </w:r>
            <w:r>
              <w:rPr>
                <w:rFonts w:hint="eastAsia" w:ascii="Times New Roman" w:hAnsi="Times New Roman" w:eastAsia="宋体" w:cs="Times New Roman"/>
                <w:color w:val="000000"/>
                <w:sz w:val="24"/>
                <w:szCs w:val="24"/>
                <w:lang w:val="en-US" w:eastAsia="zh-CN"/>
              </w:rPr>
              <w:t xml:space="preserve">8</w:t>
            </w:r>
            <w:r>
              <w:rPr>
                <w:rFonts w:hint="eastAsia" w:ascii="Times New Roman" w:hAnsi="Times New Roman" w:eastAsia="宋体" w:cs="Times New Roman"/>
                <w:color w:val="000000"/>
                <w:sz w:val="24"/>
                <w:szCs w:val="24"/>
              </w:rPr>
              <w:t xml:space="preserve">分，不符合要求或未提供的不得分。</w:t>
            </w:r>
            <w:r/>
          </w:p>
          <w:p>
            <w:pPr>
              <w:jc w:val="lef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416" w:type="pct"/>
            <w:vAlign w:val="center"/>
            <w:textDirection w:val="lrTb"/>
            <w:noWrap w:val="false"/>
          </w:tcPr>
          <w:p>
            <w:pPr>
              <w:jc w:val="center"/>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lang w:val="en-US" w:eastAsia="zh-CN"/>
              </w:rPr>
              <w:t xml:space="preserve">9</w:t>
            </w:r>
            <w:r/>
          </w:p>
        </w:tc>
      </w:tr>
      <w:tr>
        <w:trPr>
          <w:trHeight w:val="2541"/>
        </w:trPr>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0" w:type="pct"/>
            <w:vAlign w:val="center"/>
            <w:vMerge w:val="continue"/>
            <w:textDirection w:val="lrTb"/>
            <w:noWrap w:val="false"/>
          </w:tcPr>
          <w:p>
            <w:pPr>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3405" w:type="pct"/>
            <w:vAlign w:val="center"/>
            <w:textDirection w:val="lrTb"/>
            <w:noWrap w:val="false"/>
          </w:tcPr>
          <w:p>
            <w:pPr>
              <w:jc w:val="lef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4.密码培训服务方案：投标人根据本项目</w:t>
            </w:r>
            <w:r>
              <w:rPr>
                <w:rFonts w:ascii="Times New Roman" w:hAnsi="Times New Roman" w:eastAsia="宋体" w:cs="Times New Roman"/>
                <w:color w:val="000000"/>
                <w:sz w:val="24"/>
                <w:szCs w:val="24"/>
              </w:rPr>
              <w:t xml:space="preserve">第四章采购需求中</w:t>
            </w:r>
            <w:r>
              <w:rPr>
                <w:rFonts w:hint="eastAsia" w:ascii="Times New Roman" w:hAnsi="Times New Roman" w:eastAsia="宋体" w:cs="Times New Roman"/>
                <w:color w:val="000000"/>
                <w:sz w:val="24"/>
                <w:szCs w:val="24"/>
              </w:rPr>
              <w:t xml:space="preserve">“密码培训服务要求”，提供科学合理的方案，方案至少包含：培训目的、培训质量保障、培训时间计划、培训内容等培训服务内容。方案应结构清晰，内容科学合理，具有前瞻性。方案优于要求的得</w:t>
            </w:r>
            <w:r>
              <w:rPr>
                <w:rFonts w:hint="eastAsia" w:ascii="Times New Roman" w:hAnsi="Times New Roman" w:eastAsia="宋体" w:cs="Times New Roman"/>
                <w:color w:val="000000"/>
                <w:sz w:val="24"/>
                <w:szCs w:val="24"/>
                <w:lang w:val="en-US" w:eastAsia="zh-CN"/>
              </w:rPr>
              <w:t xml:space="preserve">7</w:t>
            </w:r>
            <w:r>
              <w:rPr>
                <w:rFonts w:hint="eastAsia" w:ascii="Times New Roman" w:hAnsi="Times New Roman" w:eastAsia="宋体" w:cs="Times New Roman"/>
                <w:color w:val="000000"/>
                <w:sz w:val="24"/>
                <w:szCs w:val="24"/>
              </w:rPr>
              <w:t xml:space="preserve">分，符合要求得</w:t>
            </w:r>
            <w:r>
              <w:rPr>
                <w:rFonts w:hint="eastAsia" w:ascii="Times New Roman" w:hAnsi="Times New Roman" w:eastAsia="宋体" w:cs="Times New Roman"/>
                <w:color w:val="000000"/>
                <w:sz w:val="24"/>
                <w:szCs w:val="24"/>
                <w:lang w:val="en-US" w:eastAsia="zh-CN"/>
              </w:rPr>
              <w:t xml:space="preserve">6</w:t>
            </w:r>
            <w:r>
              <w:rPr>
                <w:rFonts w:hint="eastAsia" w:ascii="Times New Roman" w:hAnsi="Times New Roman" w:eastAsia="宋体" w:cs="Times New Roman"/>
                <w:color w:val="000000"/>
                <w:sz w:val="24"/>
                <w:szCs w:val="24"/>
              </w:rPr>
              <w:t xml:space="preserve">分，不符合要求或未提供的不得分。</w:t>
            </w:r>
            <w:r/>
          </w:p>
          <w:p>
            <w:pPr>
              <w:jc w:val="lef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416" w:type="pct"/>
            <w:vAlign w:val="center"/>
            <w:textDirection w:val="lrTb"/>
            <w:noWrap w:val="false"/>
          </w:tcPr>
          <w:p>
            <w:pPr>
              <w:jc w:val="center"/>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lang w:val="en-US" w:eastAsia="zh-CN"/>
              </w:rPr>
              <w:t xml:space="preserve">7</w:t>
            </w:r>
            <w:r/>
          </w:p>
        </w:tc>
      </w:tr>
      <w:tr>
        <w:trPr>
          <w:trHeight w:val="2541"/>
        </w:trPr>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760" w:type="pct"/>
            <w:vAlign w:val="center"/>
            <w:vMerge w:val="continue"/>
            <w:textDirection w:val="lrTb"/>
            <w:noWrap w:val="false"/>
          </w:tcPr>
          <w:p>
            <w:pPr>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top w:val="single" w:color="000000" w:sz="4" w:space="0"/>
              <w:left w:val="single" w:color="000000" w:sz="4" w:space="0"/>
              <w:bottom w:val="single" w:color="000000" w:sz="4" w:space="0"/>
              <w:right w:val="single" w:color="000000" w:sz="4" w:space="0"/>
            </w:tcBorders>
            <w:tcW w:w="3405" w:type="pct"/>
            <w:vAlign w:val="center"/>
            <w:textDirection w:val="lrTb"/>
            <w:noWrap w:val="false"/>
          </w:tcPr>
          <w:p>
            <w:pPr>
              <w:jc w:val="lef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5.总体实施方案：投标人根据本项目</w:t>
            </w:r>
            <w:r>
              <w:rPr>
                <w:rFonts w:ascii="Times New Roman" w:hAnsi="Times New Roman" w:eastAsia="宋体" w:cs="Times New Roman"/>
                <w:color w:val="000000"/>
                <w:sz w:val="24"/>
                <w:szCs w:val="24"/>
              </w:rPr>
              <w:t xml:space="preserve">第四章采购需求中</w:t>
            </w:r>
            <w:r>
              <w:rPr>
                <w:rFonts w:hint="eastAsia" w:ascii="Times New Roman" w:hAnsi="Times New Roman" w:eastAsia="宋体" w:cs="Times New Roman"/>
                <w:color w:val="000000"/>
                <w:sz w:val="24"/>
                <w:szCs w:val="24"/>
              </w:rPr>
              <w:t xml:space="preserve">“总体实施要求”，提供科学合理的方案，方案至少包含：实施进度要求、评估整体组织、质量管理要求、风险管理要求、保密管理要求等内容。方案应结构清晰，内容科学合理，具有前瞻性。方案优于要求的得</w:t>
            </w:r>
            <w:r>
              <w:rPr>
                <w:rFonts w:hint="eastAsia" w:ascii="Times New Roman" w:hAnsi="Times New Roman" w:eastAsia="宋体" w:cs="Times New Roman"/>
                <w:color w:val="000000"/>
                <w:sz w:val="24"/>
                <w:szCs w:val="24"/>
                <w:lang w:val="en-US" w:eastAsia="zh-CN"/>
              </w:rPr>
              <w:t xml:space="preserve">9</w:t>
            </w:r>
            <w:r>
              <w:rPr>
                <w:rFonts w:hint="eastAsia" w:ascii="Times New Roman" w:hAnsi="Times New Roman" w:eastAsia="宋体" w:cs="Times New Roman"/>
                <w:color w:val="000000"/>
                <w:sz w:val="24"/>
                <w:szCs w:val="24"/>
              </w:rPr>
              <w:t xml:space="preserve">分，符合要求得</w:t>
            </w:r>
            <w:r>
              <w:rPr>
                <w:rFonts w:hint="eastAsia" w:ascii="Times New Roman" w:hAnsi="Times New Roman" w:eastAsia="宋体" w:cs="Times New Roman"/>
                <w:color w:val="000000"/>
                <w:sz w:val="24"/>
                <w:szCs w:val="24"/>
                <w:lang w:val="en-US" w:eastAsia="zh-CN"/>
              </w:rPr>
              <w:t xml:space="preserve">8</w:t>
            </w:r>
            <w:r>
              <w:rPr>
                <w:rFonts w:hint="eastAsia" w:ascii="Times New Roman" w:hAnsi="Times New Roman" w:eastAsia="宋体" w:cs="Times New Roman"/>
                <w:color w:val="000000"/>
                <w:sz w:val="24"/>
                <w:szCs w:val="24"/>
              </w:rPr>
              <w:t xml:space="preserve">分，不符合要求或未提供的不得分。</w:t>
            </w:r>
            <w:r/>
          </w:p>
          <w:p>
            <w:pPr>
              <w:jc w:val="lef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416" w:type="pct"/>
            <w:vAlign w:val="center"/>
            <w:textDirection w:val="lrTb"/>
            <w:noWrap w:val="false"/>
          </w:tcPr>
          <w:p>
            <w:pPr>
              <w:jc w:val="center"/>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lang w:val="en-US" w:eastAsia="zh-CN"/>
              </w:rPr>
              <w:t xml:space="preserve">9</w:t>
            </w:r>
            <w:r/>
          </w:p>
        </w:tc>
      </w:tr>
    </w:tbl>
    <w:p>
      <w:pPr>
        <w:ind w:firstLine="482"/>
        <w:jc w:val="left"/>
        <w:spacing w:line="560" w:lineRule="exact"/>
        <w:widowControl/>
        <w:rPr>
          <w:rFonts w:ascii="Times New Roman" w:hAnsi="Times New Roman" w:eastAsia="宋体" w:cs="Times New Roman"/>
          <w:b/>
          <w:bCs/>
          <w:sz w:val="24"/>
          <w:szCs w:val="20"/>
        </w:rPr>
        <w:sectPr>
          <w:footnotePr/>
          <w:endnotePr/>
          <w:type w:val="nextPage"/>
          <w:pgSz w:w="11906" w:h="16838" w:orient="portrait"/>
          <w:pgMar w:top="1440" w:right="1633" w:bottom="1440" w:left="1633" w:header="737" w:footer="1134" w:gutter="0"/>
          <w:cols w:num="1" w:sep="0" w:space="425" w:equalWidth="1"/>
          <w:docGrid w:linePitch="360"/>
          <w:titlePg/>
        </w:sectPr>
        <w:outlineLvl w:val="2"/>
      </w:pPr>
      <w:r>
        <w:rPr>
          <w:rFonts w:ascii="Times New Roman" w:hAnsi="Times New Roman" w:eastAsia="宋体" w:cs="Times New Roman"/>
          <w:b/>
          <w:bCs/>
          <w:sz w:val="24"/>
          <w:szCs w:val="20"/>
        </w:rPr>
      </w:r>
      <w:r/>
    </w:p>
    <w:p>
      <w:pPr>
        <w:ind w:firstLine="482"/>
        <w:jc w:val="left"/>
        <w:spacing w:line="560" w:lineRule="exact"/>
        <w:widowControl/>
        <w:rPr>
          <w:rFonts w:hint="eastAsia" w:ascii="Times New Roman" w:hAnsi="Times New Roman" w:eastAsia="宋体" w:cs="Times New Roman"/>
          <w:b/>
          <w:bCs/>
          <w:color w:val="c00000"/>
          <w:sz w:val="24"/>
          <w:szCs w:val="20"/>
          <w:lang w:eastAsia="zh-CN"/>
        </w:rPr>
        <w:outlineLvl w:val="2"/>
      </w:pPr>
      <w:r>
        <w:rPr>
          <w:rFonts w:ascii="Times New Roman" w:hAnsi="Times New Roman" w:eastAsia="宋体" w:cs="Times New Roman"/>
          <w:b/>
          <w:bCs/>
          <w:sz w:val="24"/>
          <w:szCs w:val="20"/>
        </w:rPr>
        <w:t xml:space="preserve">分包五：软件测评服务</w:t>
      </w:r>
      <w:r/>
    </w:p>
    <w:p>
      <w:pPr>
        <w:ind w:firstLine="482"/>
        <w:jc w:val="left"/>
        <w:spacing w:line="560" w:lineRule="exact"/>
        <w:rPr>
          <w:rFonts w:ascii="Times New Roman" w:hAnsi="Times New Roman" w:cs="Times New Roman"/>
          <w:sz w:val="24"/>
          <w:szCs w:val="20"/>
        </w:rPr>
      </w:pPr>
      <w:r>
        <w:rPr>
          <w:rFonts w:ascii="Times New Roman" w:hAnsi="Times New Roman" w:eastAsia="Arial" w:cs="Times New Roman"/>
          <w:sz w:val="24"/>
          <w:szCs w:val="20"/>
        </w:rPr>
        <w:t xml:space="preserve">本项目评分总分值为100分。</w:t>
      </w:r>
      <w:r/>
    </w:p>
    <w:tbl>
      <w:tblPr>
        <w:tblStyle w:val="7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514"/>
        <w:gridCol w:w="5749"/>
        <w:gridCol w:w="842"/>
      </w:tblGrid>
      <w:tr>
        <w:trPr>
          <w:trHeight w:val="510"/>
          <w:tblHeader/>
        </w:trPr>
        <w:tc>
          <w:tcPr>
            <w:tcBorders>
              <w:top w:val="single" w:color="auto" w:sz="4" w:space="0"/>
              <w:left w:val="single" w:color="auto" w:sz="4" w:space="0"/>
              <w:bottom w:val="single" w:color="auto" w:sz="4" w:space="0"/>
              <w:right w:val="single" w:color="auto" w:sz="4" w:space="0"/>
            </w:tcBorders>
            <w:tcW w:w="424" w:type="pct"/>
            <w:vAlign w:val="bottom"/>
            <w:textDirection w:val="lrTb"/>
            <w:noWrap w:val="false"/>
          </w:tcPr>
          <w:p>
            <w:pPr>
              <w:jc w:val="center"/>
              <w:spacing w:line="360" w:lineRule="auto"/>
              <w:rPr>
                <w:rFonts w:ascii="Times New Roman" w:hAnsi="Times New Roman" w:cs="Times New Roman"/>
                <w:b/>
                <w:bCs/>
                <w:sz w:val="24"/>
              </w:rPr>
            </w:pPr>
            <w:r>
              <w:rPr>
                <w:rFonts w:hint="eastAsia" w:ascii="Times New Roman" w:hAnsi="Times New Roman" w:cs="Times New Roman"/>
                <w:b/>
                <w:bCs/>
                <w:sz w:val="24"/>
              </w:rPr>
              <w:t xml:space="preserve">序号</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jc w:val="center"/>
              <w:spacing w:line="360" w:lineRule="auto"/>
              <w:rPr>
                <w:rFonts w:ascii="Times New Roman" w:hAnsi="Times New Roman" w:cs="Times New Roman"/>
                <w:b/>
                <w:bCs/>
                <w:sz w:val="24"/>
              </w:rPr>
            </w:pPr>
            <w:r>
              <w:rPr>
                <w:rFonts w:hint="eastAsia" w:ascii="Times New Roman" w:hAnsi="Times New Roman" w:cs="Times New Roman"/>
                <w:b/>
                <w:bCs/>
                <w:sz w:val="24"/>
              </w:rPr>
              <w:t xml:space="preserve">评分项目</w:t>
            </w:r>
            <w:r/>
          </w:p>
        </w:tc>
        <w:tc>
          <w:tcPr>
            <w:tcBorders>
              <w:top w:val="single" w:color="auto" w:sz="4" w:space="0"/>
              <w:left w:val="single" w:color="auto" w:sz="4" w:space="0"/>
              <w:bottom w:val="single" w:color="auto" w:sz="4" w:space="0"/>
              <w:right w:val="single" w:color="auto" w:sz="4" w:space="0"/>
            </w:tcBorders>
            <w:tcW w:w="3246" w:type="pct"/>
            <w:vAlign w:val="bottom"/>
            <w:textDirection w:val="lrTb"/>
            <w:noWrap w:val="false"/>
          </w:tcPr>
          <w:p>
            <w:pPr>
              <w:jc w:val="center"/>
              <w:spacing w:line="360" w:lineRule="auto"/>
              <w:rPr>
                <w:rFonts w:ascii="Times New Roman" w:hAnsi="Times New Roman" w:cs="Times New Roman"/>
                <w:b/>
                <w:bCs/>
                <w:sz w:val="24"/>
              </w:rPr>
            </w:pPr>
            <w:r>
              <w:rPr>
                <w:rFonts w:hint="eastAsia" w:ascii="Times New Roman" w:hAnsi="Times New Roman" w:cs="Times New Roman"/>
                <w:b/>
                <w:bCs/>
                <w:sz w:val="24"/>
              </w:rPr>
              <w:t xml:space="preserve">评分办法</w:t>
            </w:r>
            <w:r/>
          </w:p>
        </w:tc>
        <w:tc>
          <w:tcPr>
            <w:tcBorders>
              <w:top w:val="single" w:color="auto" w:sz="4" w:space="0"/>
              <w:left w:val="single" w:color="auto" w:sz="4" w:space="0"/>
              <w:bottom w:val="single" w:color="auto" w:sz="4" w:space="0"/>
              <w:right w:val="single" w:color="auto" w:sz="4" w:space="0"/>
            </w:tcBorders>
            <w:tcW w:w="475" w:type="pct"/>
            <w:vAlign w:val="bottom"/>
            <w:textDirection w:val="lrTb"/>
            <w:noWrap w:val="false"/>
          </w:tcPr>
          <w:p>
            <w:pPr>
              <w:jc w:val="center"/>
              <w:spacing w:line="360" w:lineRule="auto"/>
              <w:rPr>
                <w:rFonts w:ascii="Times New Roman" w:hAnsi="Times New Roman" w:cs="Times New Roman"/>
                <w:b/>
                <w:bCs/>
                <w:sz w:val="24"/>
              </w:rPr>
            </w:pPr>
            <w:r>
              <w:rPr>
                <w:rFonts w:hint="eastAsia" w:ascii="Times New Roman" w:hAnsi="Times New Roman" w:cs="Times New Roman"/>
                <w:b/>
                <w:bCs/>
                <w:sz w:val="24"/>
              </w:rPr>
              <w:t xml:space="preserve">分值</w:t>
            </w:r>
            <w:r/>
          </w:p>
        </w:tc>
      </w:tr>
      <w:tr>
        <w:trPr>
          <w:trHeight w:val="510"/>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rPr>
                <w:rFonts w:ascii="Times New Roman" w:hAnsi="Times New Roman" w:eastAsia="宋体" w:cs="Times New Roman"/>
                <w:color w:val="000000" w:themeColor="text1"/>
                <w:szCs w:val="21"/>
              </w:rPr>
            </w:pPr>
            <w:r>
              <w:rPr>
                <w:rFonts w:ascii="Times New Roman" w:hAnsi="Times New Roman" w:eastAsia="宋体" w:cs="Times New Roman"/>
                <w:color w:val="000000" w:themeColor="text1"/>
                <w:szCs w:val="21"/>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jc w:val="center"/>
              <w:rPr>
                <w:rFonts w:ascii="Times New Roman" w:hAnsi="Times New Roman" w:eastAsia="宋体" w:cs="Times New Roman"/>
                <w:color w:val="000000" w:themeColor="text1"/>
                <w:szCs w:val="21"/>
              </w:rPr>
            </w:pPr>
            <w:r>
              <w:rPr>
                <w:rFonts w:hint="eastAsia" w:ascii="Times New Roman" w:hAnsi="Times New Roman" w:eastAsia="宋体" w:cs="Times New Roman"/>
                <w:color w:val="000000" w:themeColor="text1"/>
                <w:szCs w:val="21"/>
              </w:rPr>
              <w:t xml:space="preserve">价格</w:t>
            </w:r>
            <w:r>
              <w:rPr>
                <w:rFonts w:hint="eastAsia" w:ascii="Times New Roman" w:hAnsi="Times New Roman" w:eastAsia="宋体" w:cs="Times New Roman"/>
                <w:color w:val="000000" w:themeColor="text1"/>
                <w:szCs w:val="21"/>
              </w:rPr>
              <w:br/>
            </w:r>
            <w:r>
              <w:rPr>
                <w:rFonts w:hint="eastAsia" w:ascii="Times New Roman" w:hAnsi="Times New Roman" w:eastAsia="宋体" w:cs="Times New Roman"/>
                <w:color w:val="000000" w:themeColor="text1"/>
                <w:szCs w:val="21"/>
              </w:rPr>
              <w:t xml:space="preserve">（</w:t>
            </w:r>
            <w:r>
              <w:rPr>
                <w:rFonts w:hint="eastAsia" w:ascii="Times New Roman" w:hAnsi="Times New Roman" w:eastAsia="宋体" w:cs="Times New Roman"/>
                <w:color w:val="000000" w:themeColor="text1"/>
                <w:szCs w:val="21"/>
                <w:lang w:val="en-US" w:eastAsia="zh-CN"/>
              </w:rPr>
              <w:t xml:space="preserve">10</w:t>
            </w:r>
            <w:r>
              <w:rPr>
                <w:rFonts w:hint="eastAsia" w:ascii="Times New Roman" w:hAnsi="Times New Roman" w:eastAsia="宋体" w:cs="Times New Roman"/>
                <w:color w:val="000000" w:themeColor="text1"/>
                <w:szCs w:val="21"/>
              </w:rPr>
              <w:t xml:space="preserve">分）</w:t>
            </w:r>
            <w:r>
              <w:rPr>
                <w:color w:val="000000" w:themeColor="text1"/>
              </w:rPr>
            </w:r>
            <w:r/>
          </w:p>
        </w:tc>
        <w:tc>
          <w:tcPr>
            <w:tcBorders>
              <w:top w:val="single" w:color="auto" w:sz="4" w:space="0"/>
              <w:left w:val="single" w:color="auto" w:sz="4" w:space="0"/>
              <w:bottom w:val="single" w:color="auto" w:sz="4" w:space="0"/>
              <w:right w:val="single" w:color="auto" w:sz="4" w:space="0"/>
            </w:tcBorders>
            <w:tcW w:w="3246" w:type="pct"/>
            <w:vAlign w:val="center"/>
            <w:textDirection w:val="lrTb"/>
            <w:noWrap w:val="false"/>
          </w:tcPr>
          <w:p>
            <w:pPr>
              <w:rPr>
                <w:rFonts w:ascii="Times New Roman" w:hAnsi="Times New Roman" w:eastAsia="宋体" w:cs="Times New Roman"/>
                <w:color w:val="000000" w:themeColor="text1"/>
                <w:szCs w:val="21"/>
              </w:rPr>
            </w:pPr>
            <w:r>
              <w:rPr>
                <w:rFonts w:hint="eastAsia" w:ascii="Times New Roman" w:hAnsi="Times New Roman" w:eastAsia="宋体" w:cs="Times New Roman"/>
                <w:color w:val="000000" w:themeColor="text1"/>
                <w:szCs w:val="21"/>
              </w:rPr>
              <w:t xml:space="preserve">价格分统一采用低价优先法计算，即满足要求且投标价格最低的投标报价为评标基准价，其价格分为满分。其他投标人的价格分统一按照下列公式计算：投标报价得分=（评标基准价/投标报价）×</w:t>
            </w:r>
            <w:r>
              <w:rPr>
                <w:rFonts w:hint="eastAsia" w:ascii="Times New Roman" w:hAnsi="Times New Roman" w:eastAsia="宋体" w:cs="Times New Roman"/>
                <w:color w:val="000000" w:themeColor="text1"/>
                <w:szCs w:val="21"/>
                <w:lang w:val="en-US" w:eastAsia="zh-CN"/>
              </w:rPr>
              <w:t xml:space="preserve">10</w:t>
            </w:r>
            <w:r>
              <w:rPr>
                <w:rFonts w:hint="eastAsia" w:ascii="Times New Roman" w:hAnsi="Times New Roman" w:eastAsia="宋体" w:cs="Times New Roman"/>
                <w:color w:val="000000" w:themeColor="text1"/>
                <w:szCs w:val="21"/>
              </w:rPr>
              <w:t xml:space="preserve">，小数点后保留2位。</w:t>
            </w:r>
            <w:r>
              <w:rPr>
                <w:color w:val="000000" w:themeColor="text1"/>
              </w:rPr>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rPr>
                <w:rFonts w:hint="default" w:ascii="Times New Roman" w:hAnsi="Times New Roman" w:eastAsia="宋体" w:cs="Times New Roman"/>
                <w:color w:val="000000" w:themeColor="text1"/>
                <w:szCs w:val="21"/>
              </w:rPr>
            </w:pPr>
            <w:r>
              <w:rPr>
                <w:rFonts w:hint="eastAsia" w:ascii="Times New Roman" w:hAnsi="Times New Roman" w:eastAsia="宋体" w:cs="Times New Roman"/>
                <w:color w:val="000000" w:themeColor="text1"/>
                <w:szCs w:val="21"/>
                <w:lang w:val="en-US" w:eastAsia="zh-CN"/>
              </w:rPr>
              <w:t xml:space="preserve">10</w:t>
            </w:r>
            <w:r>
              <w:rPr>
                <w:color w:val="000000" w:themeColor="text1"/>
              </w:rPr>
            </w:r>
            <w:r/>
          </w:p>
        </w:tc>
      </w:tr>
      <w:tr>
        <w:trPr>
          <w:trHeight w:val="510"/>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企业实力</w:t>
            </w:r>
            <w:r/>
          </w:p>
          <w:p>
            <w:pPr>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w:t>
            </w:r>
            <w:r>
              <w:rPr>
                <w:rFonts w:hint="eastAsia" w:ascii="Times New Roman" w:hAnsi="Times New Roman" w:eastAsia="宋体" w:cs="Times New Roman"/>
                <w:color w:val="000000"/>
                <w:szCs w:val="21"/>
                <w:lang w:val="en-US" w:eastAsia="zh-CN"/>
              </w:rPr>
              <w:t xml:space="preserve">12</w:t>
            </w:r>
            <w:r>
              <w:rPr>
                <w:rFonts w:hint="eastAsia" w:ascii="Times New Roman" w:hAnsi="Times New Roman" w:eastAsia="宋体" w:cs="Times New Roman"/>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3246" w:type="pct"/>
            <w:vAlign w:val="center"/>
            <w:textDirection w:val="lrTb"/>
            <w:noWrap w:val="false"/>
          </w:tcPr>
          <w:p>
            <w:pP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1.投标人</w:t>
            </w:r>
            <w:r>
              <w:rPr>
                <w:rFonts w:hint="eastAsia" w:ascii="Times New Roman" w:hAnsi="Times New Roman" w:eastAsia="宋体" w:cs="Times New Roman"/>
                <w:color w:val="000000" w:themeColor="text1"/>
                <w:szCs w:val="21"/>
                <w:lang w:val="en-US" w:eastAsia="zh-CN"/>
                <w14:textFill>
                  <w14:solidFill>
                    <w14:schemeClr w14:val="tx1"/>
                  </w14:solidFill>
                </w14:textFill>
              </w:rPr>
              <w:t xml:space="preserve">具有有效期内</w:t>
            </w:r>
            <w:r>
              <w:rPr>
                <w:rFonts w:hint="eastAsia" w:ascii="Times New Roman" w:hAnsi="Times New Roman" w:eastAsia="宋体" w:cs="Times New Roman"/>
                <w:color w:val="000000" w:themeColor="text1"/>
                <w:szCs w:val="21"/>
                <w14:textFill>
                  <w14:solidFill>
                    <w14:schemeClr w14:val="tx1"/>
                  </w14:solidFill>
                </w14:textFill>
              </w:rPr>
              <w:t xml:space="preserve">的</w:t>
            </w:r>
            <w:r>
              <w:rPr>
                <w:rFonts w:hint="eastAsia" w:ascii="Times New Roman" w:hAnsi="Times New Roman" w:eastAsia="宋体" w:cs="Times New Roman"/>
                <w:color w:val="000000"/>
                <w:szCs w:val="21"/>
              </w:rPr>
              <w:t xml:space="preserve">信息安全管理体系认证证书、质量管理体系认证证书、信息技术服务</w:t>
            </w:r>
            <w:r>
              <w:rPr>
                <w:rFonts w:hint="eastAsia" w:ascii="Times New Roman" w:hAnsi="Times New Roman" w:eastAsia="宋体" w:cs="Times New Roman"/>
                <w:color w:val="000000"/>
                <w:szCs w:val="21"/>
                <w:lang w:val="en-US" w:eastAsia="zh-CN"/>
              </w:rPr>
              <w:t xml:space="preserve">管理</w:t>
            </w:r>
            <w:r>
              <w:rPr>
                <w:rFonts w:hint="eastAsia" w:ascii="Times New Roman" w:hAnsi="Times New Roman" w:eastAsia="宋体" w:cs="Times New Roman"/>
                <w:color w:val="000000"/>
                <w:szCs w:val="21"/>
              </w:rPr>
              <w:t xml:space="preserve">体系认证证书，每提供1项证书得2分，最高得6分。</w:t>
            </w:r>
            <w:r/>
          </w:p>
          <w:p>
            <w:pP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2.</w:t>
            </w:r>
            <w:r>
              <w:rPr>
                <w:rFonts w:ascii="Times New Roman" w:hAnsi="Times New Roman" w:eastAsia="宋体" w:cs="Times New Roman"/>
                <w:color w:val="000000"/>
                <w:szCs w:val="21"/>
              </w:rPr>
              <w:t xml:space="preserve">投标人须根据项目要求提供</w:t>
            </w:r>
            <w:r>
              <w:rPr>
                <w:rFonts w:hint="eastAsia" w:ascii="Times New Roman" w:hAnsi="Times New Roman" w:eastAsia="宋体" w:cs="Times New Roman"/>
                <w:color w:val="000000"/>
                <w:szCs w:val="21"/>
              </w:rPr>
              <w:t xml:space="preserve">本次测评拟使用的全部工具，若使用自主研发工具需提供工具的著作权证明及有效性验证报告；若使用第三方工具需提供工具采购合同或租赁证明，确保工具满足测评需求且合法合规。</w:t>
            </w:r>
            <w:r>
              <w:rPr>
                <w:rFonts w:ascii="Times New Roman" w:hAnsi="Times New Roman" w:eastAsia="宋体" w:cs="Times New Roman"/>
                <w:color w:val="000000"/>
                <w:szCs w:val="21"/>
              </w:rPr>
              <w:t xml:space="preserve">每提供一类</w:t>
            </w:r>
            <w:r>
              <w:rPr>
                <w:rFonts w:hint="eastAsia" w:ascii="Times New Roman" w:hAnsi="Times New Roman" w:eastAsia="宋体" w:cs="Times New Roman"/>
                <w:color w:val="000000"/>
                <w:szCs w:val="21"/>
              </w:rPr>
              <w:t xml:space="preserve">工具</w:t>
            </w:r>
            <w:r>
              <w:rPr>
                <w:rFonts w:ascii="Times New Roman" w:hAnsi="Times New Roman" w:eastAsia="宋体" w:cs="Times New Roman"/>
                <w:color w:val="000000"/>
                <w:szCs w:val="21"/>
              </w:rPr>
              <w:t xml:space="preserve">得2分，满分</w:t>
            </w:r>
            <w:r>
              <w:rPr>
                <w:rFonts w:hint="eastAsia" w:ascii="Times New Roman" w:hAnsi="Times New Roman" w:eastAsia="宋体" w:cs="Times New Roman"/>
                <w:color w:val="000000"/>
                <w:szCs w:val="21"/>
              </w:rPr>
              <w:t xml:space="preserve">6</w:t>
            </w:r>
            <w:r>
              <w:rPr>
                <w:rFonts w:ascii="Times New Roman" w:hAnsi="Times New Roman" w:eastAsia="宋体" w:cs="Times New Roman"/>
                <w:color w:val="000000"/>
                <w:szCs w:val="21"/>
              </w:rPr>
              <w:t xml:space="preserve">分。</w:t>
            </w:r>
            <w:r/>
          </w:p>
          <w:p>
            <w:pP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注：投标时提供上述证书的彩色扫描件，投标人应当确保证书开标当天处于有效期内，否则不予认可。以上材料均须加盖投标人公章，否则不予认可，不提供不得分。</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rPr>
                <w:rFonts w:hint="default" w:ascii="Times New Roman" w:hAnsi="Times New Roman" w:eastAsia="宋体" w:cs="Times New Roman"/>
                <w:color w:val="000000"/>
                <w:szCs w:val="21"/>
                <w:lang w:val="en-US" w:eastAsia="zh-CN"/>
              </w:rPr>
            </w:pPr>
            <w:r>
              <w:rPr>
                <w:rFonts w:hint="eastAsia" w:ascii="Times New Roman" w:hAnsi="Times New Roman" w:eastAsia="宋体" w:cs="Times New Roman"/>
                <w:color w:val="000000"/>
                <w:szCs w:val="21"/>
                <w:lang w:val="en-US" w:eastAsia="zh-CN"/>
              </w:rPr>
              <w:t xml:space="preserve">12</w:t>
            </w:r>
            <w:r/>
          </w:p>
        </w:tc>
      </w:tr>
      <w:tr>
        <w:trPr>
          <w:trHeight w:val="510"/>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3</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jc w:val="center"/>
              <w:rPr>
                <w:rFonts w:ascii="Times New Roman" w:hAnsi="Times New Roman" w:eastAsia="宋体" w:cs="Times New Roman"/>
                <w:color w:val="000000" w:themeColor="text1"/>
                <w:szCs w:val="21"/>
              </w:rPr>
            </w:pPr>
            <w:r>
              <w:rPr>
                <w:rFonts w:hint="eastAsia" w:ascii="Times New Roman" w:hAnsi="Times New Roman" w:eastAsia="宋体" w:cs="Times New Roman"/>
                <w:color w:val="000000" w:themeColor="text1"/>
                <w:szCs w:val="21"/>
              </w:rPr>
              <w:t xml:space="preserve">业绩案例</w:t>
            </w:r>
            <w:r>
              <w:rPr>
                <w:color w:val="000000" w:themeColor="text1"/>
              </w:rPr>
            </w:r>
            <w:r/>
          </w:p>
          <w:p>
            <w:pPr>
              <w:jc w:val="center"/>
              <w:rPr>
                <w:rFonts w:ascii="Times New Roman" w:hAnsi="Times New Roman" w:eastAsia="宋体" w:cs="Times New Roman"/>
                <w:color w:val="000000" w:themeColor="text1"/>
                <w:szCs w:val="21"/>
              </w:rPr>
            </w:pPr>
            <w:r>
              <w:rPr>
                <w:rFonts w:hint="eastAsia" w:ascii="Times New Roman" w:hAnsi="Times New Roman" w:eastAsia="宋体" w:cs="Times New Roman"/>
                <w:color w:val="000000" w:themeColor="text1"/>
                <w:szCs w:val="21"/>
              </w:rPr>
              <w:t xml:space="preserve">（1</w:t>
            </w:r>
            <w:r>
              <w:rPr>
                <w:rFonts w:hint="eastAsia" w:ascii="Times New Roman" w:hAnsi="Times New Roman" w:eastAsia="宋体" w:cs="Times New Roman"/>
                <w:color w:val="000000" w:themeColor="text1"/>
                <w:szCs w:val="21"/>
                <w:lang w:val="en-US" w:eastAsia="zh-CN"/>
              </w:rPr>
              <w:t xml:space="preserve">5</w:t>
            </w:r>
            <w:r>
              <w:rPr>
                <w:rFonts w:hint="eastAsia" w:ascii="Times New Roman" w:hAnsi="Times New Roman" w:eastAsia="宋体" w:cs="Times New Roman"/>
                <w:color w:val="000000" w:themeColor="text1"/>
                <w:szCs w:val="21"/>
              </w:rPr>
              <w:t xml:space="preserve">分）</w:t>
            </w:r>
            <w:r>
              <w:rPr>
                <w:color w:val="000000" w:themeColor="text1"/>
              </w:rPr>
            </w:r>
            <w:r/>
          </w:p>
        </w:tc>
        <w:tc>
          <w:tcPr>
            <w:tcBorders>
              <w:top w:val="single" w:color="auto" w:sz="4" w:space="0"/>
              <w:left w:val="single" w:color="auto" w:sz="4" w:space="0"/>
              <w:bottom w:val="single" w:color="auto" w:sz="4" w:space="0"/>
              <w:right w:val="single" w:color="auto" w:sz="4" w:space="0"/>
            </w:tcBorders>
            <w:tcW w:w="3246" w:type="pct"/>
            <w:vAlign w:val="center"/>
            <w:textDirection w:val="lrTb"/>
            <w:noWrap w:val="false"/>
          </w:tcPr>
          <w:p>
            <w:pPr>
              <w:rPr>
                <w:rFonts w:hint="eastAsia" w:ascii="Times New Roman" w:hAnsi="Times New Roman" w:eastAsia="宋体" w:cs="Times New Roman"/>
                <w:color w:val="000000" w:themeColor="text1"/>
                <w:szCs w:val="21"/>
              </w:rPr>
            </w:pPr>
            <w:r>
              <w:rPr>
                <w:rFonts w:hint="eastAsia" w:ascii="Times New Roman" w:hAnsi="Times New Roman" w:eastAsia="宋体" w:cs="Times New Roman"/>
                <w:color w:val="000000" w:themeColor="text1"/>
                <w:szCs w:val="21"/>
              </w:rPr>
              <w:t xml:space="preserve">2022年1月1日以来（以合同签订日期为准），投标人具有类似项目业绩（类似项目是指信息化系统的软件测评项目），每提供一个</w:t>
            </w:r>
            <w:r>
              <w:rPr>
                <w:rFonts w:hint="eastAsia" w:ascii="Times New Roman" w:hAnsi="Times New Roman" w:eastAsia="宋体" w:cs="Times New Roman"/>
                <w:color w:val="000000" w:themeColor="text1"/>
                <w:szCs w:val="21"/>
                <w:lang w:val="en-US" w:eastAsia="zh-CN"/>
              </w:rPr>
              <w:t xml:space="preserve">有效</w:t>
            </w:r>
            <w:r>
              <w:rPr>
                <w:rFonts w:hint="eastAsia" w:ascii="Times New Roman" w:hAnsi="Times New Roman" w:eastAsia="宋体" w:cs="Times New Roman"/>
                <w:color w:val="000000" w:themeColor="text1"/>
                <w:szCs w:val="21"/>
              </w:rPr>
              <w:t xml:space="preserve">业绩得3分，本项最高得1</w:t>
            </w:r>
            <w:r>
              <w:rPr>
                <w:rFonts w:hint="eastAsia" w:ascii="Times New Roman" w:hAnsi="Times New Roman" w:eastAsia="宋体" w:cs="Times New Roman"/>
                <w:color w:val="000000" w:themeColor="text1"/>
                <w:szCs w:val="21"/>
                <w:lang w:val="en-US" w:eastAsia="zh-CN"/>
              </w:rPr>
              <w:t xml:space="preserve">5</w:t>
            </w:r>
            <w:r>
              <w:rPr>
                <w:rFonts w:hint="eastAsia" w:ascii="Times New Roman" w:hAnsi="Times New Roman" w:eastAsia="宋体" w:cs="Times New Roman"/>
                <w:color w:val="000000" w:themeColor="text1"/>
                <w:szCs w:val="21"/>
              </w:rPr>
              <w:t xml:space="preserve">分。</w:t>
            </w:r>
            <w:r>
              <w:rPr>
                <w:rFonts w:hint="eastAsia" w:ascii="Times New Roman" w:hAnsi="Times New Roman" w:eastAsia="宋体" w:cs="Times New Roman"/>
                <w:color w:val="000000" w:themeColor="text1"/>
                <w:szCs w:val="21"/>
              </w:rPr>
              <w:br/>
            </w:r>
            <w:r>
              <w:rPr>
                <w:rFonts w:hint="eastAsia" w:ascii="Times New Roman" w:hAnsi="Times New Roman" w:eastAsia="宋体" w:cs="Times New Roman"/>
                <w:color w:val="000000" w:themeColor="text1"/>
                <w:szCs w:val="21"/>
              </w:rPr>
              <w:t xml:space="preserve">注：需提供合同关键页扫描件（合同关键页包括但不限于合同首页、合同签订日期页、双方盖章页等关键页）作为得分依据；未提供或评标委员会无法凭所提供资料判断是否得分的情况，一律作不得分处理</w:t>
            </w:r>
            <w:r>
              <w:rPr>
                <w:rFonts w:hint="eastAsia" w:ascii="Times New Roman" w:hAnsi="Times New Roman" w:eastAsia="宋体" w:cs="Times New Roman"/>
                <w:color w:val="000000" w:themeColor="text1"/>
                <w:szCs w:val="21"/>
                <w:lang w:eastAsia="zh-CN"/>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rPr>
                <w:rFonts w:hint="eastAsia" w:ascii="Times New Roman" w:hAnsi="Times New Roman" w:eastAsia="宋体" w:cs="Times New Roman"/>
                <w:color w:val="000000" w:themeColor="text1"/>
                <w:szCs w:val="21"/>
              </w:rPr>
            </w:pPr>
            <w:r>
              <w:rPr>
                <w:rFonts w:hint="eastAsia" w:ascii="Times New Roman" w:hAnsi="Times New Roman" w:eastAsia="宋体" w:cs="Times New Roman"/>
                <w:color w:val="000000" w:themeColor="text1"/>
                <w:szCs w:val="21"/>
              </w:rPr>
              <w:t xml:space="preserve">1</w:t>
            </w:r>
            <w:r>
              <w:rPr>
                <w:rFonts w:hint="eastAsia" w:ascii="Times New Roman" w:hAnsi="Times New Roman" w:eastAsia="宋体" w:cs="Times New Roman"/>
                <w:color w:val="000000" w:themeColor="text1"/>
                <w:szCs w:val="21"/>
                <w:lang w:val="en-US" w:eastAsia="zh-CN"/>
              </w:rPr>
              <w:t xml:space="preserve">5</w:t>
            </w:r>
            <w:r>
              <w:rPr>
                <w:color w:val="000000" w:themeColor="text1"/>
              </w:rPr>
            </w:r>
            <w:r/>
          </w:p>
        </w:tc>
      </w:tr>
      <w:tr>
        <w:trPr>
          <w:trHeight w:val="510"/>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4</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团队能力</w:t>
            </w:r>
            <w:r>
              <w:rPr>
                <w:rFonts w:hint="eastAsia" w:ascii="Times New Roman" w:hAnsi="Times New Roman" w:eastAsia="宋体" w:cs="Times New Roman"/>
                <w:color w:val="000000"/>
                <w:szCs w:val="21"/>
              </w:rPr>
              <w:br/>
            </w:r>
            <w:r>
              <w:rPr>
                <w:rFonts w:hint="eastAsia" w:ascii="Times New Roman" w:hAnsi="Times New Roman" w:eastAsia="宋体" w:cs="Times New Roman"/>
                <w:color w:val="000000"/>
                <w:szCs w:val="21"/>
              </w:rPr>
              <w:t xml:space="preserve">（14分）</w:t>
            </w:r>
            <w:r/>
          </w:p>
        </w:tc>
        <w:tc>
          <w:tcPr>
            <w:tcBorders>
              <w:top w:val="single" w:color="auto" w:sz="4" w:space="0"/>
              <w:left w:val="single" w:color="auto" w:sz="4" w:space="0"/>
              <w:bottom w:val="single" w:color="auto" w:sz="4" w:space="0"/>
              <w:right w:val="single" w:color="auto" w:sz="4" w:space="0"/>
            </w:tcBorders>
            <w:tcW w:w="3246" w:type="pct"/>
            <w:vAlign w:val="center"/>
            <w:textDirection w:val="lrTb"/>
            <w:noWrap w:val="false"/>
          </w:tcPr>
          <w:p>
            <w:pPr>
              <w:jc w:val="lef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w:t>
            </w:r>
            <w:r>
              <w:rPr>
                <w:rFonts w:hint="eastAsia" w:ascii="Times New Roman" w:hAnsi="Times New Roman" w:eastAsia="宋体" w:cs="Times New Roman"/>
                <w:color w:val="000000"/>
                <w:szCs w:val="21"/>
              </w:rPr>
              <w:t xml:space="preserve">项目经理：具有国家人力资源和社会保障部 工业和信息化部批准颁发的信息系统项目管理师、软件评测师证书，每具有一项得</w:t>
            </w:r>
            <w:r>
              <w:rPr>
                <w:rFonts w:ascii="Times New Roman" w:hAnsi="Times New Roman" w:eastAsia="宋体" w:cs="Times New Roman"/>
                <w:color w:val="000000"/>
                <w:szCs w:val="21"/>
              </w:rPr>
              <w:t xml:space="preserve">2</w:t>
            </w:r>
            <w:r>
              <w:rPr>
                <w:rFonts w:hint="eastAsia" w:ascii="Times New Roman" w:hAnsi="Times New Roman" w:eastAsia="宋体" w:cs="Times New Roman"/>
                <w:color w:val="000000"/>
                <w:szCs w:val="21"/>
              </w:rPr>
              <w:t xml:space="preserve">分，最高得</w:t>
            </w:r>
            <w:r>
              <w:rPr>
                <w:rFonts w:ascii="Times New Roman" w:hAnsi="Times New Roman" w:eastAsia="宋体" w:cs="Times New Roman"/>
                <w:color w:val="000000"/>
                <w:szCs w:val="21"/>
              </w:rPr>
              <w:t xml:space="preserve">4</w:t>
            </w:r>
            <w:r>
              <w:rPr>
                <w:rFonts w:hint="eastAsia" w:ascii="Times New Roman" w:hAnsi="Times New Roman" w:eastAsia="宋体" w:cs="Times New Roman"/>
                <w:color w:val="000000"/>
                <w:szCs w:val="21"/>
              </w:rPr>
              <w:t xml:space="preserve">分。</w:t>
            </w:r>
            <w:r>
              <w:rPr>
                <w:rFonts w:hint="eastAsia" w:ascii="Times New Roman" w:hAnsi="Times New Roman" w:eastAsia="宋体" w:cs="Times New Roman"/>
                <w:color w:val="000000"/>
                <w:szCs w:val="21"/>
              </w:rPr>
              <w:br/>
            </w:r>
            <w:r>
              <w:rPr>
                <w:rFonts w:hint="eastAsia" w:ascii="Times New Roman" w:hAnsi="Times New Roman" w:eastAsia="宋体" w:cs="Times New Roman"/>
                <w:color w:val="000000"/>
                <w:szCs w:val="21"/>
              </w:rPr>
              <w:t xml:space="preserve">2.项目组成员（除项目经理外）：具有国家人力资源和社会保障部</w:t>
            </w:r>
            <w:r>
              <w:rPr>
                <w:rFonts w:ascii="Times New Roman" w:hAnsi="Times New Roman" w:eastAsia="宋体" w:cs="Times New Roman"/>
                <w:color w:val="000000"/>
                <w:szCs w:val="21"/>
              </w:rPr>
              <w:t xml:space="preserve"> </w:t>
            </w:r>
            <w:r>
              <w:rPr>
                <w:rFonts w:hint="eastAsia" w:ascii="Times New Roman" w:hAnsi="Times New Roman" w:eastAsia="宋体" w:cs="Times New Roman"/>
                <w:color w:val="000000"/>
                <w:szCs w:val="21"/>
              </w:rPr>
              <w:t xml:space="preserve">工业和信息化部批准颁发的软件评测师、信息安全工程师、网络工程师、数据库系统工程师、信息系统项目管理师证书，每提供</w:t>
            </w:r>
            <w:r>
              <w:rPr>
                <w:rFonts w:ascii="Times New Roman" w:hAnsi="Times New Roman" w:eastAsia="宋体" w:cs="Times New Roman"/>
                <w:color w:val="000000"/>
                <w:szCs w:val="21"/>
              </w:rPr>
              <w:t xml:space="preserve">1</w:t>
            </w:r>
            <w:r>
              <w:rPr>
                <w:rFonts w:hint="eastAsia" w:ascii="Times New Roman" w:hAnsi="Times New Roman" w:eastAsia="宋体" w:cs="Times New Roman"/>
                <w:color w:val="000000"/>
                <w:szCs w:val="21"/>
              </w:rPr>
              <w:t xml:space="preserve">类证书得</w:t>
            </w:r>
            <w:r>
              <w:rPr>
                <w:rFonts w:ascii="Times New Roman" w:hAnsi="Times New Roman" w:eastAsia="宋体" w:cs="Times New Roman"/>
                <w:color w:val="000000"/>
                <w:szCs w:val="21"/>
              </w:rPr>
              <w:t xml:space="preserve">2</w:t>
            </w:r>
            <w:r>
              <w:rPr>
                <w:rFonts w:hint="eastAsia" w:ascii="Times New Roman" w:hAnsi="Times New Roman" w:eastAsia="宋体" w:cs="Times New Roman"/>
                <w:color w:val="000000"/>
                <w:szCs w:val="21"/>
              </w:rPr>
              <w:t xml:space="preserve">分，最高得</w:t>
            </w:r>
            <w:r>
              <w:rPr>
                <w:rFonts w:ascii="Times New Roman" w:hAnsi="Times New Roman" w:eastAsia="宋体" w:cs="Times New Roman"/>
                <w:color w:val="000000"/>
                <w:szCs w:val="21"/>
              </w:rPr>
              <w:t xml:space="preserve">10</w:t>
            </w:r>
            <w:r>
              <w:rPr>
                <w:rFonts w:hint="eastAsia" w:ascii="Times New Roman" w:hAnsi="Times New Roman" w:eastAsia="宋体" w:cs="Times New Roman"/>
                <w:color w:val="000000"/>
                <w:szCs w:val="21"/>
              </w:rPr>
              <w:t xml:space="preserve">分。</w:t>
            </w:r>
            <w:r>
              <w:rPr>
                <w:rFonts w:hint="eastAsia" w:ascii="Times New Roman" w:hAnsi="Times New Roman" w:eastAsia="宋体" w:cs="Times New Roman"/>
                <w:color w:val="000000"/>
                <w:szCs w:val="21"/>
              </w:rPr>
              <w:br/>
            </w:r>
            <w:r>
              <w:rPr>
                <w:rFonts w:hint="eastAsia" w:ascii="Times New Roman" w:hAnsi="Times New Roman" w:cs="Times New Roman"/>
              </w:rPr>
              <w:t xml:space="preserve">注：①上述证明材料以原件的扫描件并加盖投标人公章进行计分；②以上所有人员需提供</w:t>
            </w:r>
            <w:r>
              <w:rPr>
                <w:rFonts w:hint="eastAsia" w:ascii="Times New Roman" w:hAnsi="Times New Roman" w:cs="Times New Roman"/>
                <w:lang w:eastAsia="zh-CN"/>
              </w:rPr>
              <w:t xml:space="preserve">投标人</w:t>
            </w:r>
            <w:r>
              <w:rPr>
                <w:rFonts w:hint="eastAsia" w:ascii="Times New Roman" w:hAnsi="Times New Roman" w:cs="Times New Roman"/>
              </w:rPr>
              <w:t xml:space="preserve">投标前3个月内任意1个月缴纳社保的证明材料并加盖投标人公章。</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14</w:t>
            </w:r>
            <w:r/>
          </w:p>
        </w:tc>
      </w:tr>
      <w:tr>
        <w:trPr>
          <w:trHeight w:val="510"/>
        </w:trPr>
        <w:tc>
          <w:tcPr>
            <w:tcBorders>
              <w:top w:val="single" w:color="auto" w:sz="4" w:space="0"/>
              <w:left w:val="single" w:color="auto" w:sz="4" w:space="0"/>
              <w:right w:val="single" w:color="auto" w:sz="4" w:space="0"/>
            </w:tcBorders>
            <w:tcW w:w="424" w:type="pct"/>
            <w:vAlign w:val="center"/>
            <w:vMerge w:val="restart"/>
            <w:textDirection w:val="lrTb"/>
            <w:noWrap w:val="false"/>
          </w:tcPr>
          <w:p>
            <w:pPr>
              <w:jc w:val="center"/>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5</w:t>
            </w:r>
            <w:r/>
          </w:p>
        </w:tc>
        <w:tc>
          <w:tcPr>
            <w:tcBorders>
              <w:top w:val="single" w:color="auto" w:sz="4" w:space="0"/>
              <w:left w:val="single" w:color="auto" w:sz="4" w:space="0"/>
              <w:right w:val="single" w:color="auto" w:sz="4" w:space="0"/>
            </w:tcBorders>
            <w:tcW w:w="855" w:type="pct"/>
            <w:vAlign w:val="center"/>
            <w:vMerge w:val="restart"/>
            <w:textDirection w:val="lrTb"/>
            <w:noWrap w:val="false"/>
          </w:tcPr>
          <w:p>
            <w:pPr>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软件测试方案</w:t>
            </w:r>
            <w:r/>
          </w:p>
          <w:p>
            <w:pPr>
              <w:jc w:val="center"/>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w:t>
            </w:r>
            <w:r>
              <w:rPr>
                <w:rFonts w:hint="eastAsia" w:ascii="Times New Roman" w:hAnsi="Times New Roman" w:eastAsia="宋体" w:cs="Times New Roman"/>
                <w:color w:val="000000"/>
                <w:szCs w:val="21"/>
                <w:lang w:val="en-US" w:eastAsia="zh-CN"/>
              </w:rPr>
              <w:t xml:space="preserve">35</w:t>
            </w:r>
            <w:r>
              <w:rPr>
                <w:rFonts w:hint="eastAsia" w:ascii="Times New Roman" w:hAnsi="Times New Roman" w:eastAsia="宋体" w:cs="Times New Roman"/>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3246" w:type="pct"/>
            <w:vAlign w:val="center"/>
            <w:textDirection w:val="lrTb"/>
            <w:noWrap w:val="false"/>
          </w:tcPr>
          <w:p>
            <w:pPr>
              <w:jc w:val="lef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1.投标人根据本项目</w:t>
            </w:r>
            <w:r>
              <w:rPr>
                <w:rFonts w:ascii="Times New Roman" w:hAnsi="Times New Roman" w:eastAsia="宋体" w:cs="Times New Roman"/>
                <w:color w:val="000000"/>
                <w:szCs w:val="21"/>
              </w:rPr>
              <w:t xml:space="preserve">第四章采购需求中</w:t>
            </w:r>
            <w:r>
              <w:rPr>
                <w:rFonts w:hint="eastAsia" w:ascii="Times New Roman" w:hAnsi="Times New Roman" w:eastAsia="宋体" w:cs="Times New Roman"/>
                <w:color w:val="000000"/>
                <w:szCs w:val="21"/>
              </w:rPr>
              <w:t xml:space="preserve">“功能性测试方案”，提供科学合理的项目实施方案，方案至少包含：功能适合性、功能完备性、功能正确性等内容。方案应结构清晰，内容科学合理，具有前瞻性。方案优于要求的得</w:t>
            </w:r>
            <w:r>
              <w:rPr>
                <w:rFonts w:hint="eastAsia" w:ascii="Times New Roman" w:hAnsi="Times New Roman" w:eastAsia="宋体" w:cs="Times New Roman"/>
                <w:color w:val="000000"/>
                <w:szCs w:val="21"/>
                <w:lang w:val="en-US" w:eastAsia="zh-CN"/>
              </w:rPr>
              <w:t xml:space="preserve">5</w:t>
            </w:r>
            <w:r>
              <w:rPr>
                <w:rFonts w:hint="eastAsia" w:ascii="Times New Roman" w:hAnsi="Times New Roman" w:eastAsia="宋体" w:cs="Times New Roman"/>
                <w:color w:val="000000"/>
                <w:szCs w:val="21"/>
              </w:rPr>
              <w:t xml:space="preserve">分，符合要求得</w:t>
            </w:r>
            <w:r>
              <w:rPr>
                <w:rFonts w:hint="eastAsia" w:ascii="Times New Roman" w:hAnsi="Times New Roman" w:eastAsia="宋体" w:cs="Times New Roman"/>
                <w:color w:val="000000"/>
                <w:szCs w:val="21"/>
                <w:lang w:val="en-US" w:eastAsia="zh-CN"/>
              </w:rPr>
              <w:t xml:space="preserve">4</w:t>
            </w:r>
            <w:r>
              <w:rPr>
                <w:rFonts w:hint="eastAsia" w:ascii="Times New Roman" w:hAnsi="Times New Roman" w:eastAsia="宋体" w:cs="Times New Roman"/>
                <w:color w:val="000000"/>
                <w:szCs w:val="21"/>
              </w:rPr>
              <w:t xml:space="preserve">分，不符合要求或未提供的不得分。</w:t>
            </w:r>
            <w:r>
              <w:rPr>
                <w:rFonts w:hint="eastAsia" w:ascii="Times New Roman" w:hAnsi="Times New Roman" w:eastAsia="宋体" w:cs="Times New Roman"/>
                <w:color w:val="000000"/>
                <w:szCs w:val="21"/>
              </w:rPr>
              <w:br/>
            </w:r>
            <w:r>
              <w:rPr>
                <w:rFonts w:hint="eastAsia" w:ascii="Times New Roman" w:hAnsi="Times New Roman" w:eastAsia="宋体" w:cs="Times New Roman"/>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rPr>
                <w:rFonts w:hint="eastAsia" w:ascii="Times New Roman" w:hAnsi="Times New Roman" w:eastAsia="宋体" w:cs="Times New Roman"/>
                <w:color w:val="000000"/>
                <w:szCs w:val="21"/>
                <w:lang w:eastAsia="zh-CN"/>
              </w:rPr>
            </w:pPr>
            <w:r>
              <w:rPr>
                <w:rFonts w:hint="eastAsia" w:ascii="Times New Roman" w:hAnsi="Times New Roman" w:eastAsia="宋体" w:cs="Times New Roman"/>
                <w:color w:val="000000"/>
                <w:szCs w:val="21"/>
                <w:lang w:val="en-US" w:eastAsia="zh-CN"/>
              </w:rPr>
              <w:t xml:space="preserve">5</w:t>
            </w:r>
            <w:r/>
          </w:p>
        </w:tc>
      </w:tr>
      <w:tr>
        <w:trPr>
          <w:trHeight w:val="510"/>
        </w:trPr>
        <w:tc>
          <w:tcPr>
            <w:tcBorders>
              <w:left w:val="single" w:color="auto" w:sz="4" w:space="0"/>
              <w:right w:val="single" w:color="auto" w:sz="4" w:space="0"/>
            </w:tcBorders>
            <w:tcW w:w="424"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left w:val="single" w:color="auto" w:sz="4" w:space="0"/>
              <w:right w:val="single" w:color="auto" w:sz="4" w:space="0"/>
            </w:tcBorders>
            <w:tcW w:w="855"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top w:val="single" w:color="auto" w:sz="4" w:space="0"/>
              <w:left w:val="single" w:color="auto" w:sz="4" w:space="0"/>
              <w:bottom w:val="single" w:color="auto" w:sz="4" w:space="0"/>
              <w:right w:val="single" w:color="auto" w:sz="4" w:space="0"/>
            </w:tcBorders>
            <w:tcW w:w="3246" w:type="pct"/>
            <w:vAlign w:val="center"/>
            <w:textDirection w:val="lrTb"/>
            <w:noWrap w:val="false"/>
          </w:tcPr>
          <w:p>
            <w:pPr>
              <w:jc w:val="left"/>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2.投标人根据本项目</w:t>
            </w:r>
            <w:r>
              <w:rPr>
                <w:rFonts w:ascii="Times New Roman" w:hAnsi="Times New Roman" w:eastAsia="宋体" w:cs="Times New Roman"/>
                <w:color w:val="000000"/>
                <w:szCs w:val="21"/>
              </w:rPr>
              <w:t xml:space="preserve">第四章采购需求中</w:t>
            </w:r>
            <w:r>
              <w:rPr>
                <w:rFonts w:hint="eastAsia" w:ascii="Times New Roman" w:hAnsi="Times New Roman" w:eastAsia="宋体" w:cs="Times New Roman"/>
                <w:color w:val="000000"/>
                <w:szCs w:val="21"/>
              </w:rPr>
              <w:t xml:space="preserve">“性能效率测试方案”，提供科学合理的项目实施方案，方案至少包含：平均响应时间、平均吞吐量、数据库性能等内容。方案应结构清晰，内容科学合理，具有前瞻性。方案优于要求的得</w:t>
            </w:r>
            <w:r>
              <w:rPr>
                <w:rFonts w:hint="eastAsia" w:ascii="Times New Roman" w:hAnsi="Times New Roman" w:eastAsia="宋体" w:cs="Times New Roman"/>
                <w:color w:val="000000"/>
                <w:szCs w:val="21"/>
                <w:lang w:val="en-US" w:eastAsia="zh-CN"/>
              </w:rPr>
              <w:t xml:space="preserve">5</w:t>
            </w:r>
            <w:r>
              <w:rPr>
                <w:rFonts w:hint="eastAsia" w:ascii="Times New Roman" w:hAnsi="Times New Roman" w:eastAsia="宋体" w:cs="Times New Roman"/>
                <w:color w:val="000000"/>
                <w:szCs w:val="21"/>
              </w:rPr>
              <w:t xml:space="preserve">分，符合要求得</w:t>
            </w:r>
            <w:r>
              <w:rPr>
                <w:rFonts w:hint="eastAsia" w:ascii="Times New Roman" w:hAnsi="Times New Roman" w:eastAsia="宋体" w:cs="Times New Roman"/>
                <w:color w:val="000000"/>
                <w:szCs w:val="21"/>
                <w:lang w:val="en-US" w:eastAsia="zh-CN"/>
              </w:rPr>
              <w:t xml:space="preserve">4</w:t>
            </w:r>
            <w:r>
              <w:rPr>
                <w:rFonts w:hint="eastAsia" w:ascii="Times New Roman" w:hAnsi="Times New Roman" w:eastAsia="宋体" w:cs="Times New Roman"/>
                <w:color w:val="000000"/>
                <w:szCs w:val="21"/>
              </w:rPr>
              <w:t xml:space="preserve">分，不符合要求或未提供的不得分。</w:t>
            </w:r>
            <w:r>
              <w:rPr>
                <w:rFonts w:hint="eastAsia" w:ascii="Times New Roman" w:hAnsi="Times New Roman" w:eastAsia="宋体" w:cs="Times New Roman"/>
                <w:color w:val="000000"/>
                <w:szCs w:val="21"/>
              </w:rPr>
              <w:br/>
            </w:r>
            <w:r>
              <w:rPr>
                <w:rFonts w:hint="eastAsia" w:ascii="Times New Roman" w:hAnsi="Times New Roman" w:eastAsia="宋体" w:cs="Times New Roman"/>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hint="eastAsia" w:ascii="Times New Roman" w:hAnsi="Times New Roman" w:eastAsia="宋体" w:cs="Times New Roman"/>
                <w:color w:val="000000"/>
                <w:szCs w:val="21"/>
                <w:lang w:eastAsia="zh-CN"/>
              </w:rPr>
            </w:pPr>
            <w:r>
              <w:rPr>
                <w:rFonts w:hint="eastAsia" w:ascii="Times New Roman" w:hAnsi="Times New Roman" w:eastAsia="宋体" w:cs="Times New Roman"/>
                <w:color w:val="000000"/>
                <w:szCs w:val="21"/>
                <w:lang w:val="en-US" w:eastAsia="zh-CN"/>
              </w:rPr>
              <w:t xml:space="preserve">5</w:t>
            </w:r>
            <w:r/>
          </w:p>
        </w:tc>
      </w:tr>
      <w:tr>
        <w:trPr>
          <w:trHeight w:val="510"/>
        </w:trPr>
        <w:tc>
          <w:tcPr>
            <w:tcBorders>
              <w:left w:val="single" w:color="auto" w:sz="4" w:space="0"/>
              <w:right w:val="single" w:color="auto" w:sz="4" w:space="0"/>
            </w:tcBorders>
            <w:tcW w:w="424"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left w:val="single" w:color="auto" w:sz="4" w:space="0"/>
              <w:right w:val="single" w:color="auto" w:sz="4" w:space="0"/>
            </w:tcBorders>
            <w:tcW w:w="855"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top w:val="single" w:color="auto" w:sz="4" w:space="0"/>
              <w:left w:val="single" w:color="auto" w:sz="4" w:space="0"/>
              <w:bottom w:val="single" w:color="auto" w:sz="4" w:space="0"/>
              <w:right w:val="single" w:color="auto" w:sz="4" w:space="0"/>
            </w:tcBorders>
            <w:tcW w:w="3246" w:type="pct"/>
            <w:vAlign w:val="center"/>
            <w:textDirection w:val="lrTb"/>
            <w:noWrap w:val="false"/>
          </w:tcPr>
          <w:p>
            <w:pPr>
              <w:jc w:val="left"/>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3.投标人根据本项目</w:t>
            </w:r>
            <w:r>
              <w:rPr>
                <w:rFonts w:ascii="Times New Roman" w:hAnsi="Times New Roman" w:eastAsia="宋体" w:cs="Times New Roman"/>
                <w:color w:val="000000"/>
                <w:szCs w:val="21"/>
              </w:rPr>
              <w:t xml:space="preserve">第四章采购需求中</w:t>
            </w:r>
            <w:r>
              <w:rPr>
                <w:rFonts w:hint="eastAsia" w:ascii="Times New Roman" w:hAnsi="Times New Roman" w:eastAsia="宋体" w:cs="Times New Roman"/>
                <w:color w:val="000000"/>
                <w:szCs w:val="21"/>
              </w:rPr>
              <w:t xml:space="preserve"> “信息安全性测试方案”，提供科学合理的项目实施方案，方案至少包含：保密性、完整性、真实性等内容。方案应结构清晰，内容科学合理，具有前瞻性。方案优于要求的得</w:t>
            </w:r>
            <w:r>
              <w:rPr>
                <w:rFonts w:hint="eastAsia" w:ascii="Times New Roman" w:hAnsi="Times New Roman" w:eastAsia="宋体" w:cs="Times New Roman"/>
                <w:color w:val="000000"/>
                <w:szCs w:val="21"/>
                <w:lang w:val="en-US" w:eastAsia="zh-CN"/>
              </w:rPr>
              <w:t xml:space="preserve">5</w:t>
            </w:r>
            <w:r>
              <w:rPr>
                <w:rFonts w:hint="eastAsia" w:ascii="Times New Roman" w:hAnsi="Times New Roman" w:eastAsia="宋体" w:cs="Times New Roman"/>
                <w:color w:val="000000"/>
                <w:szCs w:val="21"/>
              </w:rPr>
              <w:t xml:space="preserve">分，符合要求得</w:t>
            </w:r>
            <w:r>
              <w:rPr>
                <w:rFonts w:hint="eastAsia" w:ascii="Times New Roman" w:hAnsi="Times New Roman" w:eastAsia="宋体" w:cs="Times New Roman"/>
                <w:color w:val="000000"/>
                <w:szCs w:val="21"/>
                <w:lang w:val="en-US" w:eastAsia="zh-CN"/>
              </w:rPr>
              <w:t xml:space="preserve">4</w:t>
            </w:r>
            <w:r>
              <w:rPr>
                <w:rFonts w:hint="eastAsia" w:ascii="Times New Roman" w:hAnsi="Times New Roman" w:eastAsia="宋体" w:cs="Times New Roman"/>
                <w:color w:val="000000"/>
                <w:szCs w:val="21"/>
              </w:rPr>
              <w:t xml:space="preserve">分，不符合要求或未提供的不得分。</w:t>
            </w:r>
            <w:r>
              <w:rPr>
                <w:rFonts w:hint="eastAsia" w:ascii="Times New Roman" w:hAnsi="Times New Roman" w:eastAsia="宋体" w:cs="Times New Roman"/>
                <w:color w:val="000000"/>
                <w:szCs w:val="21"/>
              </w:rPr>
              <w:br/>
            </w:r>
            <w:r>
              <w:rPr>
                <w:rFonts w:hint="eastAsia" w:ascii="Times New Roman" w:hAnsi="Times New Roman" w:eastAsia="宋体" w:cs="Times New Roman"/>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hint="eastAsia" w:ascii="Times New Roman" w:hAnsi="Times New Roman" w:eastAsia="宋体" w:cs="Times New Roman"/>
                <w:color w:val="000000"/>
                <w:szCs w:val="21"/>
                <w:lang w:eastAsia="zh-CN"/>
              </w:rPr>
            </w:pPr>
            <w:r>
              <w:rPr>
                <w:rFonts w:hint="eastAsia" w:ascii="Times New Roman" w:hAnsi="Times New Roman" w:eastAsia="宋体" w:cs="Times New Roman"/>
                <w:color w:val="000000"/>
                <w:szCs w:val="21"/>
                <w:lang w:val="en-US" w:eastAsia="zh-CN"/>
              </w:rPr>
              <w:t xml:space="preserve">5</w:t>
            </w:r>
            <w:r/>
          </w:p>
        </w:tc>
      </w:tr>
      <w:tr>
        <w:trPr>
          <w:trHeight w:val="510"/>
        </w:trPr>
        <w:tc>
          <w:tcPr>
            <w:tcBorders>
              <w:left w:val="single" w:color="auto" w:sz="4" w:space="0"/>
              <w:right w:val="single" w:color="auto" w:sz="4" w:space="0"/>
            </w:tcBorders>
            <w:tcW w:w="424"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left w:val="single" w:color="auto" w:sz="4" w:space="0"/>
              <w:right w:val="single" w:color="auto" w:sz="4" w:space="0"/>
            </w:tcBorders>
            <w:tcW w:w="855"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top w:val="single" w:color="auto" w:sz="4" w:space="0"/>
              <w:left w:val="single" w:color="auto" w:sz="4" w:space="0"/>
              <w:bottom w:val="single" w:color="auto" w:sz="4" w:space="0"/>
              <w:right w:val="single" w:color="auto" w:sz="4" w:space="0"/>
            </w:tcBorders>
            <w:tcW w:w="3246" w:type="pct"/>
            <w:vAlign w:val="center"/>
            <w:textDirection w:val="lrTb"/>
            <w:noWrap w:val="false"/>
          </w:tcPr>
          <w:p>
            <w:pPr>
              <w:jc w:val="left"/>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4.投标人根据本项目</w:t>
            </w:r>
            <w:r>
              <w:rPr>
                <w:rFonts w:ascii="Times New Roman" w:hAnsi="Times New Roman" w:eastAsia="宋体" w:cs="Times New Roman"/>
                <w:color w:val="000000"/>
                <w:szCs w:val="21"/>
              </w:rPr>
              <w:t xml:space="preserve">第四章采购需求中</w:t>
            </w:r>
            <w:r>
              <w:rPr>
                <w:rFonts w:hint="eastAsia" w:ascii="Times New Roman" w:hAnsi="Times New Roman" w:eastAsia="宋体" w:cs="Times New Roman"/>
                <w:color w:val="000000"/>
                <w:szCs w:val="21"/>
              </w:rPr>
              <w:t xml:space="preserve">“易用性测试方案”，提供科学合理的项目实施方案，方案至少包含：可辨识性、易学性、易操作性、界面舒适性等内容。方案应结构清晰，内容科学合理，具有前瞻性。方案优于要求的得</w:t>
            </w:r>
            <w:r>
              <w:rPr>
                <w:rFonts w:hint="eastAsia" w:ascii="Times New Roman" w:hAnsi="Times New Roman" w:eastAsia="宋体" w:cs="Times New Roman"/>
                <w:color w:val="000000"/>
                <w:szCs w:val="21"/>
                <w:lang w:val="en-US" w:eastAsia="zh-CN"/>
              </w:rPr>
              <w:t xml:space="preserve">5</w:t>
            </w:r>
            <w:r>
              <w:rPr>
                <w:rFonts w:hint="eastAsia" w:ascii="Times New Roman" w:hAnsi="Times New Roman" w:eastAsia="宋体" w:cs="Times New Roman"/>
                <w:color w:val="000000"/>
                <w:szCs w:val="21"/>
              </w:rPr>
              <w:t xml:space="preserve">分，符合要求得</w:t>
            </w:r>
            <w:r>
              <w:rPr>
                <w:rFonts w:hint="eastAsia" w:ascii="Times New Roman" w:hAnsi="Times New Roman" w:eastAsia="宋体" w:cs="Times New Roman"/>
                <w:color w:val="000000"/>
                <w:szCs w:val="21"/>
                <w:lang w:val="en-US" w:eastAsia="zh-CN"/>
              </w:rPr>
              <w:t xml:space="preserve">4</w:t>
            </w:r>
            <w:r>
              <w:rPr>
                <w:rFonts w:hint="eastAsia" w:ascii="Times New Roman" w:hAnsi="Times New Roman" w:eastAsia="宋体" w:cs="Times New Roman"/>
                <w:color w:val="000000"/>
                <w:szCs w:val="21"/>
              </w:rPr>
              <w:t xml:space="preserve">分，不符合要求或未提供的不得分。</w:t>
            </w:r>
            <w:r>
              <w:rPr>
                <w:rFonts w:hint="eastAsia" w:ascii="Times New Roman" w:hAnsi="Times New Roman" w:eastAsia="宋体" w:cs="Times New Roman"/>
                <w:color w:val="000000"/>
                <w:szCs w:val="21"/>
              </w:rPr>
              <w:br/>
            </w:r>
            <w:r>
              <w:rPr>
                <w:rFonts w:hint="eastAsia" w:ascii="Times New Roman" w:hAnsi="Times New Roman" w:eastAsia="宋体" w:cs="Times New Roman"/>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hint="eastAsia" w:ascii="Times New Roman" w:hAnsi="Times New Roman" w:eastAsia="宋体" w:cs="Times New Roman"/>
                <w:color w:val="000000"/>
                <w:szCs w:val="21"/>
                <w:lang w:eastAsia="zh-CN"/>
              </w:rPr>
            </w:pPr>
            <w:r>
              <w:rPr>
                <w:rFonts w:hint="eastAsia" w:ascii="Times New Roman" w:hAnsi="Times New Roman" w:eastAsia="宋体" w:cs="Times New Roman"/>
                <w:color w:val="000000"/>
                <w:szCs w:val="21"/>
                <w:lang w:val="en-US" w:eastAsia="zh-CN"/>
              </w:rPr>
              <w:t xml:space="preserve">5</w:t>
            </w:r>
            <w:r/>
          </w:p>
        </w:tc>
      </w:tr>
      <w:tr>
        <w:trPr>
          <w:trHeight w:val="510"/>
        </w:trPr>
        <w:tc>
          <w:tcPr>
            <w:tcBorders>
              <w:left w:val="single" w:color="auto" w:sz="4" w:space="0"/>
              <w:right w:val="single" w:color="auto" w:sz="4" w:space="0"/>
            </w:tcBorders>
            <w:tcW w:w="424"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left w:val="single" w:color="auto" w:sz="4" w:space="0"/>
              <w:right w:val="single" w:color="auto" w:sz="4" w:space="0"/>
            </w:tcBorders>
            <w:tcW w:w="855"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top w:val="single" w:color="auto" w:sz="4" w:space="0"/>
              <w:left w:val="single" w:color="auto" w:sz="4" w:space="0"/>
              <w:bottom w:val="single" w:color="auto" w:sz="4" w:space="0"/>
              <w:right w:val="single" w:color="auto" w:sz="4" w:space="0"/>
            </w:tcBorders>
            <w:tcW w:w="3246" w:type="pct"/>
            <w:vAlign w:val="center"/>
            <w:textDirection w:val="lrTb"/>
            <w:noWrap w:val="false"/>
          </w:tcPr>
          <w:p>
            <w:pPr>
              <w:jc w:val="left"/>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5.投标人根据本项目</w:t>
            </w:r>
            <w:r>
              <w:rPr>
                <w:rFonts w:ascii="Times New Roman" w:hAnsi="Times New Roman" w:eastAsia="宋体" w:cs="Times New Roman"/>
                <w:color w:val="000000"/>
                <w:szCs w:val="21"/>
              </w:rPr>
              <w:t xml:space="preserve">第四章采购需求中</w:t>
            </w:r>
            <w:r>
              <w:rPr>
                <w:rFonts w:hint="eastAsia" w:ascii="Times New Roman" w:hAnsi="Times New Roman" w:eastAsia="宋体" w:cs="Times New Roman"/>
                <w:color w:val="000000"/>
                <w:szCs w:val="21"/>
              </w:rPr>
              <w:t xml:space="preserve">“可靠性测试方案”，提供科学合理的项目实施方案，方案至少包含：成熟性、可用性、容错性、易恢复性等内容。方案应结构清晰，内容科学合理，具有前瞻性。方案优于要求的得</w:t>
            </w:r>
            <w:r>
              <w:rPr>
                <w:rFonts w:hint="eastAsia" w:ascii="Times New Roman" w:hAnsi="Times New Roman" w:eastAsia="宋体" w:cs="Times New Roman"/>
                <w:color w:val="000000"/>
                <w:szCs w:val="21"/>
                <w:lang w:val="en-US" w:eastAsia="zh-CN"/>
              </w:rPr>
              <w:t xml:space="preserve">5</w:t>
            </w:r>
            <w:r>
              <w:rPr>
                <w:rFonts w:hint="eastAsia" w:ascii="Times New Roman" w:hAnsi="Times New Roman" w:eastAsia="宋体" w:cs="Times New Roman"/>
                <w:color w:val="000000"/>
                <w:szCs w:val="21"/>
              </w:rPr>
              <w:t xml:space="preserve">分，符合要求得</w:t>
            </w:r>
            <w:r>
              <w:rPr>
                <w:rFonts w:hint="eastAsia" w:ascii="Times New Roman" w:hAnsi="Times New Roman" w:eastAsia="宋体" w:cs="Times New Roman"/>
                <w:color w:val="000000"/>
                <w:szCs w:val="21"/>
                <w:lang w:val="en-US" w:eastAsia="zh-CN"/>
              </w:rPr>
              <w:t xml:space="preserve">4</w:t>
            </w:r>
            <w:r>
              <w:rPr>
                <w:rFonts w:hint="eastAsia" w:ascii="Times New Roman" w:hAnsi="Times New Roman" w:eastAsia="宋体" w:cs="Times New Roman"/>
                <w:color w:val="000000"/>
                <w:szCs w:val="21"/>
              </w:rPr>
              <w:t xml:space="preserve">分，不符合要求或未提供的不得分。</w:t>
            </w:r>
            <w:r>
              <w:rPr>
                <w:rFonts w:hint="eastAsia" w:ascii="Times New Roman" w:hAnsi="Times New Roman" w:eastAsia="宋体" w:cs="Times New Roman"/>
                <w:color w:val="000000"/>
                <w:szCs w:val="21"/>
              </w:rPr>
              <w:br/>
            </w:r>
            <w:r>
              <w:rPr>
                <w:rFonts w:hint="eastAsia" w:ascii="Times New Roman" w:hAnsi="Times New Roman" w:eastAsia="宋体" w:cs="Times New Roman"/>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hint="eastAsia" w:ascii="Times New Roman" w:hAnsi="Times New Roman" w:eastAsia="宋体" w:cs="Times New Roman"/>
                <w:color w:val="000000"/>
                <w:szCs w:val="21"/>
                <w:lang w:eastAsia="zh-CN"/>
              </w:rPr>
            </w:pPr>
            <w:r>
              <w:rPr>
                <w:rFonts w:hint="eastAsia" w:ascii="Times New Roman" w:hAnsi="Times New Roman" w:eastAsia="宋体" w:cs="Times New Roman"/>
                <w:color w:val="000000"/>
                <w:szCs w:val="21"/>
                <w:lang w:val="en-US" w:eastAsia="zh-CN"/>
              </w:rPr>
              <w:t xml:space="preserve">5</w:t>
            </w:r>
            <w:r/>
          </w:p>
        </w:tc>
      </w:tr>
      <w:tr>
        <w:trPr>
          <w:trHeight w:val="510"/>
        </w:trPr>
        <w:tc>
          <w:tcPr>
            <w:tcBorders>
              <w:left w:val="single" w:color="auto" w:sz="4" w:space="0"/>
              <w:right w:val="single" w:color="auto" w:sz="4" w:space="0"/>
            </w:tcBorders>
            <w:tcW w:w="424"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left w:val="single" w:color="auto" w:sz="4" w:space="0"/>
              <w:right w:val="single" w:color="auto" w:sz="4" w:space="0"/>
            </w:tcBorders>
            <w:tcW w:w="855"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top w:val="single" w:color="auto" w:sz="4" w:space="0"/>
              <w:left w:val="single" w:color="auto" w:sz="4" w:space="0"/>
              <w:bottom w:val="single" w:color="auto" w:sz="4" w:space="0"/>
              <w:right w:val="single" w:color="auto" w:sz="4" w:space="0"/>
            </w:tcBorders>
            <w:tcW w:w="3246" w:type="pct"/>
            <w:vAlign w:val="center"/>
            <w:textDirection w:val="lrTb"/>
            <w:noWrap w:val="false"/>
          </w:tcPr>
          <w:p>
            <w:pPr>
              <w:jc w:val="left"/>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6.投标人根据本项目</w:t>
            </w:r>
            <w:r>
              <w:rPr>
                <w:rFonts w:ascii="Times New Roman" w:hAnsi="Times New Roman" w:eastAsia="宋体" w:cs="Times New Roman"/>
                <w:color w:val="000000"/>
                <w:szCs w:val="21"/>
              </w:rPr>
              <w:t xml:space="preserve">第四章采购需求中</w:t>
            </w:r>
            <w:r>
              <w:rPr>
                <w:rFonts w:hint="eastAsia" w:ascii="Times New Roman" w:hAnsi="Times New Roman" w:eastAsia="宋体" w:cs="Times New Roman"/>
                <w:color w:val="000000"/>
                <w:szCs w:val="21"/>
              </w:rPr>
              <w:t xml:space="preserve">“兼容性测试方案”，提供科学合理的项目实施方案，方案至少包含：共存性、互操作性等内容。方案应结构清晰，内容科学合理，具有前瞻性。方案优于要求的得</w:t>
            </w:r>
            <w:r>
              <w:rPr>
                <w:rFonts w:hint="eastAsia" w:ascii="Times New Roman" w:hAnsi="Times New Roman" w:eastAsia="宋体" w:cs="Times New Roman"/>
                <w:color w:val="000000"/>
                <w:szCs w:val="21"/>
                <w:lang w:val="en-US" w:eastAsia="zh-CN"/>
              </w:rPr>
              <w:t xml:space="preserve">5</w:t>
            </w:r>
            <w:r>
              <w:rPr>
                <w:rFonts w:hint="eastAsia" w:ascii="Times New Roman" w:hAnsi="Times New Roman" w:eastAsia="宋体" w:cs="Times New Roman"/>
                <w:color w:val="000000"/>
                <w:szCs w:val="21"/>
              </w:rPr>
              <w:t xml:space="preserve">分，符合要求得</w:t>
            </w:r>
            <w:r>
              <w:rPr>
                <w:rFonts w:hint="eastAsia" w:ascii="Times New Roman" w:hAnsi="Times New Roman" w:eastAsia="宋体" w:cs="Times New Roman"/>
                <w:color w:val="000000"/>
                <w:szCs w:val="21"/>
                <w:lang w:val="en-US" w:eastAsia="zh-CN"/>
              </w:rPr>
              <w:t xml:space="preserve">4</w:t>
            </w:r>
            <w:r>
              <w:rPr>
                <w:rFonts w:hint="eastAsia" w:ascii="Times New Roman" w:hAnsi="Times New Roman" w:eastAsia="宋体" w:cs="Times New Roman"/>
                <w:color w:val="000000"/>
                <w:szCs w:val="21"/>
              </w:rPr>
              <w:t xml:space="preserve">分，不符合要求或未提供的不得分。</w:t>
            </w:r>
            <w:r>
              <w:rPr>
                <w:rFonts w:hint="eastAsia" w:ascii="Times New Roman" w:hAnsi="Times New Roman" w:eastAsia="宋体" w:cs="Times New Roman"/>
                <w:color w:val="000000"/>
                <w:szCs w:val="21"/>
              </w:rPr>
              <w:br/>
            </w:r>
            <w:r>
              <w:rPr>
                <w:rFonts w:hint="eastAsia" w:ascii="Times New Roman" w:hAnsi="Times New Roman" w:eastAsia="宋体" w:cs="Times New Roman"/>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hint="eastAsia" w:ascii="Times New Roman" w:hAnsi="Times New Roman" w:eastAsia="宋体" w:cs="Times New Roman"/>
                <w:color w:val="000000"/>
                <w:szCs w:val="21"/>
                <w:lang w:eastAsia="zh-CN"/>
              </w:rPr>
            </w:pPr>
            <w:r>
              <w:rPr>
                <w:rFonts w:hint="eastAsia" w:ascii="Times New Roman" w:hAnsi="Times New Roman" w:eastAsia="宋体" w:cs="Times New Roman"/>
                <w:color w:val="000000"/>
                <w:szCs w:val="21"/>
                <w:lang w:val="en-US" w:eastAsia="zh-CN"/>
              </w:rPr>
              <w:t xml:space="preserve">5</w:t>
            </w:r>
            <w:r/>
          </w:p>
        </w:tc>
      </w:tr>
      <w:tr>
        <w:trPr>
          <w:trHeight w:val="510"/>
        </w:trPr>
        <w:tc>
          <w:tcPr>
            <w:tcBorders>
              <w:left w:val="single" w:color="auto" w:sz="4" w:space="0"/>
              <w:bottom w:val="single" w:color="auto" w:sz="4" w:space="0"/>
              <w:right w:val="single" w:color="auto" w:sz="4" w:space="0"/>
            </w:tcBorders>
            <w:tcW w:w="424"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left w:val="single" w:color="auto" w:sz="4" w:space="0"/>
              <w:bottom w:val="single" w:color="auto" w:sz="4" w:space="0"/>
              <w:right w:val="single" w:color="auto" w:sz="4" w:space="0"/>
            </w:tcBorders>
            <w:tcW w:w="855" w:type="pct"/>
            <w:vAlign w:val="center"/>
            <w:vMerge w:val="continue"/>
            <w:textDirection w:val="lrTb"/>
            <w:noWrap w:val="false"/>
          </w:tcPr>
          <w:p>
            <w:pPr>
              <w:jc w:val="cente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Borders>
              <w:top w:val="single" w:color="auto" w:sz="4" w:space="0"/>
              <w:left w:val="single" w:color="auto" w:sz="4" w:space="0"/>
              <w:bottom w:val="single" w:color="auto" w:sz="4" w:space="0"/>
              <w:right w:val="single" w:color="auto" w:sz="4" w:space="0"/>
            </w:tcBorders>
            <w:tcW w:w="3246" w:type="pct"/>
            <w:vAlign w:val="center"/>
            <w:textDirection w:val="lrTb"/>
            <w:noWrap w:val="false"/>
          </w:tcPr>
          <w:p>
            <w:pPr>
              <w:jc w:val="left"/>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7.投标人根据本项目</w:t>
            </w:r>
            <w:r>
              <w:rPr>
                <w:rFonts w:ascii="Times New Roman" w:hAnsi="Times New Roman" w:eastAsia="宋体" w:cs="Times New Roman"/>
                <w:color w:val="000000"/>
                <w:szCs w:val="21"/>
              </w:rPr>
              <w:t xml:space="preserve">第四章采购需求中</w:t>
            </w:r>
            <w:r>
              <w:rPr>
                <w:rFonts w:hint="eastAsia" w:ascii="Times New Roman" w:hAnsi="Times New Roman" w:eastAsia="宋体" w:cs="Times New Roman"/>
                <w:color w:val="000000"/>
                <w:szCs w:val="21"/>
              </w:rPr>
              <w:t xml:space="preserve">“用户文档集测试方案”，提供科学合理的项目实施方案，方案至少包含：完备性、一致性、正确性、易理解性等内容。方案应结构清晰，内容科学合理，具有前瞻性。方案优于要求的得</w:t>
            </w:r>
            <w:r>
              <w:rPr>
                <w:rFonts w:hint="eastAsia" w:ascii="Times New Roman" w:hAnsi="Times New Roman" w:eastAsia="宋体" w:cs="Times New Roman"/>
                <w:color w:val="000000"/>
                <w:szCs w:val="21"/>
                <w:lang w:val="en-US" w:eastAsia="zh-CN"/>
              </w:rPr>
              <w:t xml:space="preserve">5</w:t>
            </w:r>
            <w:r>
              <w:rPr>
                <w:rFonts w:hint="eastAsia" w:ascii="Times New Roman" w:hAnsi="Times New Roman" w:eastAsia="宋体" w:cs="Times New Roman"/>
                <w:color w:val="000000"/>
                <w:szCs w:val="21"/>
              </w:rPr>
              <w:t xml:space="preserve">分，符合要求得</w:t>
            </w:r>
            <w:r>
              <w:rPr>
                <w:rFonts w:hint="eastAsia" w:ascii="Times New Roman" w:hAnsi="Times New Roman" w:eastAsia="宋体" w:cs="Times New Roman"/>
                <w:color w:val="000000"/>
                <w:szCs w:val="21"/>
                <w:lang w:val="en-US" w:eastAsia="zh-CN"/>
              </w:rPr>
              <w:t xml:space="preserve">4</w:t>
            </w:r>
            <w:r>
              <w:rPr>
                <w:rFonts w:hint="eastAsia" w:ascii="Times New Roman" w:hAnsi="Times New Roman" w:eastAsia="宋体" w:cs="Times New Roman"/>
                <w:color w:val="000000"/>
                <w:szCs w:val="21"/>
              </w:rPr>
              <w:t xml:space="preserve">分，不符合要求或未提供的不得分。</w:t>
            </w:r>
            <w:r>
              <w:rPr>
                <w:rFonts w:hint="eastAsia" w:ascii="Times New Roman" w:hAnsi="Times New Roman" w:eastAsia="宋体" w:cs="Times New Roman"/>
                <w:color w:val="000000"/>
                <w:szCs w:val="21"/>
              </w:rPr>
              <w:br/>
            </w:r>
            <w:r>
              <w:rPr>
                <w:rFonts w:hint="eastAsia" w:ascii="Times New Roman" w:hAnsi="Times New Roman" w:eastAsia="宋体" w:cs="Times New Roman"/>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hint="eastAsia" w:ascii="Times New Roman" w:hAnsi="Times New Roman" w:eastAsia="宋体" w:cs="Times New Roman"/>
                <w:color w:val="000000"/>
                <w:szCs w:val="21"/>
                <w:lang w:eastAsia="zh-CN"/>
              </w:rPr>
            </w:pPr>
            <w:r>
              <w:rPr>
                <w:rFonts w:hint="eastAsia" w:ascii="Times New Roman" w:hAnsi="Times New Roman" w:eastAsia="宋体" w:cs="Times New Roman"/>
                <w:color w:val="000000"/>
                <w:szCs w:val="21"/>
                <w:lang w:val="en-US" w:eastAsia="zh-CN"/>
              </w:rPr>
              <w:t xml:space="preserve">5</w:t>
            </w:r>
            <w:r/>
          </w:p>
        </w:tc>
      </w:tr>
      <w:tr>
        <w:trPr>
          <w:trHeight w:val="510"/>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6</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项目管理方案</w:t>
            </w:r>
            <w:r/>
          </w:p>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w:t>
            </w:r>
            <w:r>
              <w:rPr>
                <w:rFonts w:hint="eastAsia" w:ascii="Times New Roman" w:hAnsi="Times New Roman" w:eastAsia="宋体" w:cs="Times New Roman"/>
                <w:color w:val="000000"/>
                <w:szCs w:val="21"/>
                <w:lang w:val="en-US" w:eastAsia="zh-CN"/>
              </w:rPr>
              <w:t xml:space="preserve">7</w:t>
            </w:r>
            <w:r>
              <w:rPr>
                <w:rFonts w:hint="eastAsia" w:ascii="Times New Roman" w:hAnsi="Times New Roman" w:eastAsia="宋体" w:cs="Times New Roman"/>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3246" w:type="pct"/>
            <w:vAlign w:val="center"/>
            <w:textDirection w:val="lrTb"/>
            <w:noWrap w:val="false"/>
          </w:tcPr>
          <w:p>
            <w:pPr>
              <w:jc w:val="left"/>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投标人根据本项目</w:t>
            </w:r>
            <w:r>
              <w:rPr>
                <w:rFonts w:ascii="Times New Roman" w:hAnsi="Times New Roman" w:eastAsia="宋体" w:cs="Times New Roman"/>
                <w:color w:val="000000"/>
                <w:szCs w:val="21"/>
              </w:rPr>
              <w:t xml:space="preserve">第四章采购需求中</w:t>
            </w:r>
            <w:r>
              <w:rPr>
                <w:rFonts w:hint="eastAsia" w:ascii="Times New Roman" w:hAnsi="Times New Roman" w:eastAsia="宋体" w:cs="Times New Roman"/>
                <w:color w:val="000000"/>
                <w:szCs w:val="21"/>
              </w:rPr>
              <w:t xml:space="preserve">“项目管理方案”，提供科学合理的项目实施方案，方案至少包含：团队配置、沟通协调等内容。方案应结构清晰，内容科学合理，具有前瞻性。方案优于要求的得</w:t>
            </w:r>
            <w:r>
              <w:rPr>
                <w:rFonts w:hint="eastAsia" w:ascii="Times New Roman" w:hAnsi="Times New Roman" w:eastAsia="宋体" w:cs="Times New Roman"/>
                <w:color w:val="000000"/>
                <w:szCs w:val="21"/>
                <w:lang w:val="en-US" w:eastAsia="zh-CN"/>
              </w:rPr>
              <w:t xml:space="preserve">7</w:t>
            </w:r>
            <w:r>
              <w:rPr>
                <w:rFonts w:hint="eastAsia" w:ascii="Times New Roman" w:hAnsi="Times New Roman" w:eastAsia="宋体" w:cs="Times New Roman"/>
                <w:color w:val="000000"/>
                <w:szCs w:val="21"/>
              </w:rPr>
              <w:t xml:space="preserve">分，符合要求得</w:t>
            </w:r>
            <w:r>
              <w:rPr>
                <w:rFonts w:hint="eastAsia" w:ascii="Times New Roman" w:hAnsi="Times New Roman" w:eastAsia="宋体" w:cs="Times New Roman"/>
                <w:color w:val="000000"/>
                <w:szCs w:val="21"/>
                <w:lang w:val="en-US" w:eastAsia="zh-CN"/>
              </w:rPr>
              <w:t xml:space="preserve">6</w:t>
            </w:r>
            <w:r>
              <w:rPr>
                <w:rFonts w:hint="eastAsia" w:ascii="Times New Roman" w:hAnsi="Times New Roman" w:eastAsia="宋体" w:cs="Times New Roman"/>
                <w:color w:val="000000"/>
                <w:szCs w:val="21"/>
              </w:rPr>
              <w:t xml:space="preserve">分，不符合要求或未提供的不得分。</w:t>
            </w:r>
            <w:r>
              <w:rPr>
                <w:rFonts w:hint="eastAsia" w:ascii="Times New Roman" w:hAnsi="Times New Roman" w:eastAsia="宋体" w:cs="Times New Roman"/>
                <w:color w:val="000000"/>
                <w:szCs w:val="21"/>
              </w:rPr>
              <w:br/>
            </w:r>
            <w:r>
              <w:rPr>
                <w:rFonts w:hint="eastAsia" w:ascii="Times New Roman" w:hAnsi="Times New Roman" w:eastAsia="宋体" w:cs="Times New Roman"/>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hint="eastAsia" w:ascii="Times New Roman" w:hAnsi="Times New Roman" w:eastAsia="宋体" w:cs="Times New Roman"/>
                <w:color w:val="000000"/>
                <w:szCs w:val="21"/>
                <w:lang w:eastAsia="zh-CN"/>
              </w:rPr>
            </w:pPr>
            <w:r>
              <w:rPr>
                <w:rFonts w:hint="eastAsia" w:ascii="Times New Roman" w:hAnsi="Times New Roman" w:eastAsia="宋体" w:cs="Times New Roman"/>
                <w:color w:val="000000"/>
                <w:szCs w:val="21"/>
                <w:lang w:val="en-US" w:eastAsia="zh-CN"/>
              </w:rPr>
              <w:t xml:space="preserve">7</w:t>
            </w:r>
            <w:r/>
          </w:p>
        </w:tc>
      </w:tr>
      <w:tr>
        <w:trPr>
          <w:trHeight w:val="510"/>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7</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jc w:val="center"/>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质量保证方案（</w:t>
            </w:r>
            <w:r>
              <w:rPr>
                <w:rFonts w:hint="eastAsia" w:ascii="Times New Roman" w:hAnsi="Times New Roman" w:eastAsia="宋体" w:cs="Times New Roman"/>
                <w:color w:val="000000"/>
                <w:szCs w:val="21"/>
                <w:lang w:val="en-US" w:eastAsia="zh-CN"/>
              </w:rPr>
              <w:t xml:space="preserve">7</w:t>
            </w:r>
            <w:r>
              <w:rPr>
                <w:rFonts w:hint="eastAsia" w:ascii="Times New Roman" w:hAnsi="Times New Roman" w:eastAsia="宋体" w:cs="Times New Roman"/>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3246" w:type="pct"/>
            <w:vAlign w:val="center"/>
            <w:textDirection w:val="lrTb"/>
            <w:noWrap w:val="false"/>
          </w:tcPr>
          <w:p>
            <w:pPr>
              <w:jc w:val="left"/>
              <w:widowControl/>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投标人根据本项目</w:t>
            </w:r>
            <w:r>
              <w:rPr>
                <w:rFonts w:ascii="Times New Roman" w:hAnsi="Times New Roman" w:eastAsia="宋体" w:cs="Times New Roman"/>
                <w:color w:val="000000"/>
                <w:szCs w:val="21"/>
              </w:rPr>
              <w:t xml:space="preserve">第四章采购需求中</w:t>
            </w:r>
            <w:r>
              <w:rPr>
                <w:rFonts w:hint="eastAsia" w:ascii="Times New Roman" w:hAnsi="Times New Roman" w:eastAsia="宋体" w:cs="Times New Roman"/>
                <w:color w:val="000000"/>
                <w:szCs w:val="21"/>
              </w:rPr>
              <w:t xml:space="preserve">“质量保证措施”，提供科学合理的项目实施方案，方案至少包含：质量目标、过程管控、文档质量等内容。方案应结构清晰，内容科学合理，具有前瞻性。方案优于要求的得</w:t>
            </w:r>
            <w:r>
              <w:rPr>
                <w:rFonts w:hint="eastAsia" w:ascii="Times New Roman" w:hAnsi="Times New Roman" w:eastAsia="宋体" w:cs="Times New Roman"/>
                <w:color w:val="000000"/>
                <w:szCs w:val="21"/>
                <w:lang w:val="en-US" w:eastAsia="zh-CN"/>
              </w:rPr>
              <w:t xml:space="preserve">7</w:t>
            </w:r>
            <w:r>
              <w:rPr>
                <w:rFonts w:hint="eastAsia" w:ascii="Times New Roman" w:hAnsi="Times New Roman" w:eastAsia="宋体" w:cs="Times New Roman"/>
                <w:color w:val="000000"/>
                <w:szCs w:val="21"/>
              </w:rPr>
              <w:t xml:space="preserve">分，符合要求得</w:t>
            </w:r>
            <w:r>
              <w:rPr>
                <w:rFonts w:hint="eastAsia" w:ascii="Times New Roman" w:hAnsi="Times New Roman" w:eastAsia="宋体" w:cs="Times New Roman"/>
                <w:color w:val="000000"/>
                <w:szCs w:val="21"/>
                <w:lang w:val="en-US" w:eastAsia="zh-CN"/>
              </w:rPr>
              <w:t xml:space="preserve">6</w:t>
            </w:r>
            <w:r>
              <w:rPr>
                <w:rFonts w:hint="eastAsia" w:ascii="Times New Roman" w:hAnsi="Times New Roman" w:eastAsia="宋体" w:cs="Times New Roman"/>
                <w:color w:val="000000"/>
                <w:szCs w:val="21"/>
              </w:rPr>
              <w:t xml:space="preserve">分，不符合要求或未提供的不得分。</w:t>
            </w:r>
            <w:r>
              <w:rPr>
                <w:rFonts w:hint="eastAsia" w:ascii="Times New Roman" w:hAnsi="Times New Roman" w:eastAsia="宋体" w:cs="Times New Roman"/>
                <w:color w:val="000000"/>
                <w:szCs w:val="21"/>
              </w:rPr>
              <w:br/>
            </w:r>
            <w:r>
              <w:rPr>
                <w:rFonts w:hint="eastAsia" w:ascii="Times New Roman" w:hAnsi="Times New Roman" w:eastAsia="宋体" w:cs="Times New Roman"/>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widowControl/>
              <w:rPr>
                <w:rFonts w:hint="eastAsia" w:ascii="Times New Roman" w:hAnsi="Times New Roman" w:eastAsia="宋体" w:cs="Times New Roman"/>
                <w:color w:val="000000"/>
                <w:szCs w:val="21"/>
                <w:lang w:eastAsia="zh-CN"/>
              </w:rPr>
            </w:pPr>
            <w:r>
              <w:rPr>
                <w:rFonts w:hint="eastAsia" w:ascii="Times New Roman" w:hAnsi="Times New Roman" w:eastAsia="宋体" w:cs="Times New Roman"/>
                <w:color w:val="000000"/>
                <w:szCs w:val="21"/>
                <w:lang w:val="en-US" w:eastAsia="zh-CN"/>
              </w:rPr>
              <w:t xml:space="preserve">7</w:t>
            </w:r>
            <w:r/>
          </w:p>
        </w:tc>
      </w:tr>
    </w:tbl>
    <w:p>
      <w:r/>
      <w:r/>
    </w:p>
    <w:p>
      <w:pPr>
        <w:jc w:val="left"/>
        <w:rPr>
          <w:rFonts w:ascii="Times New Roman" w:hAnsi="Times New Roman" w:eastAsia="宋体" w:cs="Times New Roman"/>
          <w:color w:val="000000"/>
          <w:szCs w:val="21"/>
        </w:rPr>
        <w:sectPr>
          <w:footnotePr/>
          <w:endnotePr/>
          <w:type w:val="nextPage"/>
          <w:pgSz w:w="11906" w:h="16838" w:orient="portrait"/>
          <w:pgMar w:top="1440" w:right="1633" w:bottom="1440" w:left="1633" w:header="737" w:footer="1134" w:gutter="0"/>
          <w:cols w:num="1" w:sep="0" w:space="425" w:equalWidth="1"/>
          <w:docGrid w:linePitch="360"/>
          <w:titlePg/>
        </w:sectPr>
      </w:pPr>
      <w:r>
        <w:rPr>
          <w:rFonts w:ascii="Times New Roman" w:hAnsi="Times New Roman" w:eastAsia="宋体" w:cs="Times New Roman"/>
          <w:color w:val="000000"/>
          <w:szCs w:val="21"/>
        </w:rPr>
      </w:r>
      <w:r/>
    </w:p>
    <w:p>
      <w:pPr>
        <w:jc w:val="center"/>
        <w:widowControl/>
        <w:rPr>
          <w:rFonts w:hint="eastAsia" w:ascii="方正小标宋_GBK" w:eastAsia="方正小标宋_GBK" w:cs="宋体" w:hAnsiTheme="minorEastAsia"/>
          <w:sz w:val="44"/>
          <w:szCs w:val="44"/>
        </w:rPr>
        <w:pBdr>
          <w:top w:val="none" w:color="000000" w:sz="0" w:space="0"/>
          <w:left w:val="none" w:color="000000" w:sz="0" w:space="0"/>
          <w:bottom w:val="none" w:color="000000" w:sz="0" w:space="0"/>
          <w:right w:val="none" w:color="000000" w:sz="0" w:space="0"/>
        </w:pBdr>
        <w:outlineLvl w:val="0"/>
      </w:pPr>
      <w:r/>
      <w:bookmarkStart w:id="145" w:name="_Toc203060318"/>
      <w:r/>
      <w:bookmarkStart w:id="146" w:name="_Toc213751409"/>
      <w:r>
        <w:rPr>
          <w:rFonts w:hint="eastAsia" w:ascii="黑体" w:hAnsi="黑体" w:eastAsia="黑体" w:cs="黑体"/>
          <w:sz w:val="44"/>
          <w:szCs w:val="44"/>
        </w:rPr>
        <w:t xml:space="preserve">第六章  </w:t>
      </w:r>
      <w:bookmarkEnd w:id="145"/>
      <w:r>
        <w:rPr>
          <w:rFonts w:hint="eastAsia" w:ascii="黑体" w:hAnsi="黑体" w:eastAsia="黑体" w:cs="黑体"/>
          <w:sz w:val="44"/>
          <w:szCs w:val="44"/>
        </w:rPr>
        <w:t xml:space="preserve">投标文件格式</w:t>
      </w:r>
      <w:bookmarkEnd w:id="146"/>
      <w:r>
        <w:rPr>
          <w:rFonts w:hint="eastAsia" w:ascii="黑体" w:hAnsi="黑体" w:eastAsia="黑体" w:cs="黑体"/>
          <w:sz w:val="44"/>
          <w:szCs w:val="44"/>
        </w:rPr>
        <w:t xml:space="preserve"> </w:t>
      </w:r>
      <w:r>
        <w:rPr>
          <w:rFonts w:hint="eastAsia" w:ascii="方正小标宋_GBK" w:eastAsia="方正小标宋_GBK" w:cs="宋体" w:hAnsiTheme="minorEastAsia"/>
          <w:sz w:val="44"/>
          <w:szCs w:val="44"/>
        </w:rPr>
        <w:t xml:space="preserve"> </w:t>
      </w:r>
      <w:r/>
    </w:p>
    <w:p>
      <w:pPr>
        <w:ind w:firstLine="1446"/>
        <w:widowControl/>
        <w:rPr>
          <w:rFonts w:hint="eastAsia" w:cs="Times New Roman" w:asciiTheme="minorEastAsia" w:hAnsiTheme="minorEastAsia"/>
          <w:b/>
          <w:sz w:val="72"/>
          <w:szCs w:val="72"/>
        </w:rPr>
      </w:pPr>
      <w:r/>
      <w:bookmarkStart w:id="147" w:name="_Toc49090576"/>
      <w:r/>
      <w:bookmarkEnd w:id="147"/>
      <w:r/>
      <w:bookmarkStart w:id="148" w:name="_Toc120614282"/>
      <w:r/>
      <w:bookmarkEnd w:id="148"/>
      <w:r/>
      <w:bookmarkStart w:id="149" w:name="_Hlt26671244"/>
      <w:r/>
      <w:bookmarkStart w:id="150" w:name="_Toc26554094"/>
      <w:r/>
      <w:bookmarkStart w:id="151" w:name="_Hlt26955039"/>
      <w:r/>
      <w:r/>
    </w:p>
    <w:p>
      <w:pPr>
        <w:ind w:firstLine="1446"/>
        <w:widowControl/>
        <w:rPr>
          <w:rFonts w:hint="eastAsia" w:cs="Times New Roman" w:asciiTheme="minorEastAsia" w:hAnsiTheme="minorEastAsia"/>
          <w:b/>
          <w:sz w:val="72"/>
          <w:szCs w:val="72"/>
        </w:rPr>
      </w:pPr>
      <w:r>
        <w:rPr>
          <w:rFonts w:hint="eastAsia" w:cs="Times New Roman" w:asciiTheme="minorEastAsia" w:hAnsiTheme="minorEastAsia"/>
          <w:b/>
          <w:sz w:val="72"/>
          <w:szCs w:val="72"/>
        </w:rPr>
      </w:r>
      <w:r/>
    </w:p>
    <w:p>
      <w:pPr>
        <w:jc w:val="center"/>
        <w:widowControl/>
        <w:rPr>
          <w:rFonts w:hint="eastAsia" w:ascii="方正小标宋_GBK" w:eastAsia="方正小标宋_GBK" w:cs="Times New Roman" w:hAnsiTheme="minorEastAsia"/>
          <w:bCs/>
          <w:sz w:val="84"/>
          <w:szCs w:val="84"/>
        </w:rPr>
      </w:pPr>
      <w:r>
        <w:rPr>
          <w:rFonts w:hint="eastAsia" w:ascii="方正小标宋_GBK" w:eastAsia="方正小标宋_GBK" w:cs="Times New Roman" w:hAnsiTheme="minorEastAsia"/>
          <w:b/>
          <w:bCs/>
          <w:sz w:val="84"/>
          <w:szCs w:val="84"/>
        </w:rPr>
        <w:t xml:space="preserve">投 标 文 件</w:t>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1134"/>
        <w:spacing w:line="360" w:lineRule="auto"/>
        <w:widowControl/>
        <w:rPr>
          <w:rFonts w:hint="eastAsia" w:asciiTheme="minorEastAsia" w:hAnsiTheme="minorEastAsia" w:cstheme="minorEastAsia"/>
          <w:b/>
          <w:spacing w:val="46"/>
          <w:sz w:val="24"/>
          <w:u w:val="single"/>
        </w:rPr>
      </w:pPr>
      <w:r>
        <w:rPr>
          <w:rFonts w:hint="eastAsia" w:asciiTheme="minorEastAsia" w:hAnsiTheme="minorEastAsia" w:cstheme="minorEastAsia"/>
          <w:b/>
          <w:spacing w:val="46"/>
          <w:sz w:val="36"/>
          <w:szCs w:val="36"/>
        </w:rPr>
        <w:t xml:space="preserve">项目名称：</w:t>
      </w:r>
      <w:r>
        <w:rPr>
          <w:rFonts w:hint="eastAsia" w:asciiTheme="minorEastAsia" w:hAnsiTheme="minorEastAsia" w:cstheme="minorEastAsia"/>
          <w:b/>
          <w:spacing w:val="46"/>
          <w:sz w:val="36"/>
          <w:szCs w:val="36"/>
          <w:u w:val="single"/>
        </w:rPr>
        <w:t xml:space="preserve">                  </w:t>
      </w:r>
      <w:r/>
    </w:p>
    <w:p>
      <w:pPr>
        <w:ind w:firstLine="1134"/>
        <w:spacing w:line="360" w:lineRule="auto"/>
        <w:widowControl/>
        <w:rPr>
          <w:rFonts w:hint="eastAsia" w:asciiTheme="minorEastAsia" w:hAnsiTheme="minorEastAsia" w:cstheme="minorEastAsia"/>
          <w:b/>
          <w:spacing w:val="46"/>
          <w:sz w:val="24"/>
          <w:u w:val="single"/>
        </w:rPr>
      </w:pPr>
      <w:r>
        <w:rPr>
          <w:rFonts w:hint="eastAsia" w:asciiTheme="minorEastAsia" w:hAnsiTheme="minorEastAsia" w:cstheme="minorEastAsia"/>
          <w:b/>
          <w:spacing w:val="46"/>
          <w:sz w:val="36"/>
          <w:szCs w:val="36"/>
        </w:rPr>
        <w:t xml:space="preserve">项目编号：</w:t>
      </w:r>
      <w:r>
        <w:rPr>
          <w:rFonts w:hint="eastAsia" w:asciiTheme="minorEastAsia" w:hAnsiTheme="minorEastAsia" w:cstheme="minorEastAsia"/>
          <w:b/>
          <w:spacing w:val="46"/>
          <w:sz w:val="36"/>
          <w:szCs w:val="36"/>
          <w:u w:val="single"/>
        </w:rPr>
        <w:t xml:space="preserve">                  </w:t>
      </w:r>
      <w:r/>
    </w:p>
    <w:p>
      <w:pPr>
        <w:ind w:firstLine="1134"/>
        <w:spacing w:line="360" w:lineRule="auto"/>
        <w:widowControl/>
        <w:rPr>
          <w:rFonts w:hint="eastAsia" w:asciiTheme="minorEastAsia" w:hAnsiTheme="minorEastAsia" w:cstheme="minorEastAsia"/>
          <w:b/>
          <w:spacing w:val="46"/>
          <w:sz w:val="36"/>
          <w:szCs w:val="36"/>
        </w:rPr>
      </w:pPr>
      <w:r>
        <w:rPr>
          <w:rFonts w:hint="eastAsia" w:asciiTheme="minorEastAsia" w:hAnsiTheme="minorEastAsia" w:cstheme="minorEastAsia"/>
          <w:b/>
          <w:spacing w:val="46"/>
          <w:sz w:val="36"/>
          <w:szCs w:val="36"/>
        </w:rPr>
        <w:t xml:space="preserve">投标人名称：</w:t>
      </w:r>
      <w:r>
        <w:rPr>
          <w:rFonts w:hint="eastAsia" w:asciiTheme="minorEastAsia" w:hAnsiTheme="minorEastAsia" w:cstheme="minorEastAsia"/>
          <w:b/>
          <w:spacing w:val="46"/>
          <w:sz w:val="36"/>
          <w:szCs w:val="36"/>
          <w:u w:val="single"/>
        </w:rPr>
        <w:t xml:space="preserve">（加盖CA电子公章）</w:t>
      </w:r>
      <w:r>
        <w:rPr>
          <w:rFonts w:hint="eastAsia" w:asciiTheme="minorEastAsia" w:hAnsiTheme="minorEastAsia" w:cstheme="minorEastAsia"/>
          <w:b/>
          <w:spacing w:val="46"/>
          <w:sz w:val="36"/>
          <w:szCs w:val="36"/>
        </w:rPr>
        <w:t xml:space="preserve">   </w:t>
      </w:r>
      <w:r/>
    </w:p>
    <w:p>
      <w:pPr>
        <w:ind w:firstLine="1134"/>
        <w:spacing w:line="360" w:lineRule="auto"/>
        <w:widowControl/>
        <w:rPr>
          <w:rFonts w:hint="eastAsia" w:ascii="黑体" w:hAnsi="黑体" w:cs="Times New Roman"/>
          <w:bCs/>
          <w:sz w:val="24"/>
          <w:u w:val="single"/>
        </w:rPr>
      </w:pPr>
      <w:r>
        <w:rPr>
          <w:rFonts w:hint="eastAsia" w:asciiTheme="minorEastAsia" w:hAnsiTheme="minorEastAsia" w:cstheme="minorEastAsia"/>
          <w:b/>
          <w:sz w:val="36"/>
          <w:szCs w:val="36"/>
        </w:rPr>
        <w:t xml:space="preserve">日      期：</w:t>
      </w:r>
      <w:r>
        <w:rPr>
          <w:rFonts w:hint="eastAsia" w:asciiTheme="minorEastAsia" w:hAnsiTheme="minorEastAsia" w:cstheme="minorEastAsia"/>
          <w:b/>
          <w:sz w:val="36"/>
          <w:szCs w:val="36"/>
          <w:u w:val="single"/>
        </w:rPr>
        <w:t xml:space="preserve">                      </w:t>
      </w:r>
      <w:r/>
    </w:p>
    <w:p>
      <w:pPr>
        <w:pStyle w:val="968"/>
        <w:jc w:val="both"/>
        <w:spacing w:before="0" w:after="0"/>
        <w:widowControl/>
        <w:rPr>
          <w:rFonts w:hint="eastAsia" w:cs="Times New Roman" w:asciiTheme="minorEastAsia" w:hAnsiTheme="minorEastAsia" w:eastAsiaTheme="minorEastAsia"/>
        </w:rPr>
      </w:pPr>
      <w:r>
        <w:rPr>
          <w:rFonts w:hint="eastAsia" w:cs="Times New Roman" w:asciiTheme="minorEastAsia" w:hAnsiTheme="minorEastAsia" w:eastAsiaTheme="minorEastAsia"/>
        </w:rPr>
      </w:r>
      <w:r/>
    </w:p>
    <w:p>
      <w:pPr>
        <w:pStyle w:val="968"/>
        <w:jc w:val="both"/>
        <w:spacing w:before="0" w:after="0" w:line="240" w:lineRule="auto"/>
        <w:widowControl/>
        <w:rPr>
          <w:rFonts w:hint="eastAsia" w:cs="Times New Roman" w:asciiTheme="minorEastAsia" w:hAnsiTheme="minorEastAsia" w:eastAsiaTheme="minorEastAsia"/>
        </w:rPr>
      </w:pPr>
      <w:r>
        <w:rPr>
          <w:rFonts w:hint="eastAsia" w:cs="Times New Roman" w:asciiTheme="minorEastAsia" w:hAnsiTheme="minorEastAsia" w:eastAsiaTheme="minorEastAsia"/>
        </w:rPr>
      </w:r>
      <w:r/>
    </w:p>
    <w:p>
      <w:pPr>
        <w:pStyle w:val="980"/>
        <w:ind w:firstLine="480"/>
        <w:jc w:val="both"/>
        <w:spacing w:before="0" w:beforeAutospacing="0" w:after="0" w:afterAutospacing="0" w:line="240" w:lineRule="auto"/>
        <w:rPr>
          <w:rFonts w:hint="eastAsia" w:cs="Times New Roman" w:asciiTheme="minorEastAsia" w:hAnsiTheme="minorEastAsia" w:eastAsiaTheme="minorEastAsia"/>
          <w:color w:val="auto"/>
        </w:rPr>
      </w:pPr>
      <w:r>
        <w:rPr>
          <w:rFonts w:hint="eastAsia" w:cs="Times New Roman" w:asciiTheme="minorEastAsia" w:hAnsiTheme="minorEastAsia" w:eastAsiaTheme="minorEastAsia"/>
          <w:color w:val="auto"/>
        </w:rPr>
      </w:r>
      <w:r/>
    </w:p>
    <w:p>
      <w:pPr>
        <w:pStyle w:val="980"/>
        <w:ind w:firstLine="480"/>
        <w:jc w:val="both"/>
        <w:spacing w:before="0" w:beforeAutospacing="0" w:after="0" w:afterAutospacing="0" w:line="240" w:lineRule="auto"/>
        <w:rPr>
          <w:rFonts w:hint="eastAsia" w:cs="Times New Roman" w:asciiTheme="minorEastAsia" w:hAnsiTheme="minorEastAsia" w:eastAsiaTheme="minorEastAsia"/>
          <w:color w:val="auto"/>
        </w:rPr>
      </w:pPr>
      <w:r>
        <w:rPr>
          <w:rFonts w:hint="eastAsia" w:cs="Times New Roman" w:asciiTheme="minorEastAsia" w:hAnsiTheme="minorEastAsia" w:eastAsiaTheme="minorEastAsia"/>
          <w:color w:val="auto"/>
        </w:rPr>
      </w:r>
      <w:r/>
    </w:p>
    <w:p>
      <w:pPr>
        <w:jc w:val="left"/>
        <w:widowControl/>
        <w:rPr>
          <w:rFonts w:hint="eastAsia" w:cs="Times New Roman" w:asciiTheme="minorEastAsia" w:hAnsiTheme="minorEastAsia"/>
          <w:b/>
          <w:bCs/>
          <w:sz w:val="36"/>
          <w:szCs w:val="36"/>
        </w:rPr>
      </w:pPr>
      <w:r>
        <w:rPr>
          <w:rFonts w:cs="Times New Roman" w:asciiTheme="minorEastAsia" w:hAnsiTheme="minorEastAsia"/>
          <w:b/>
          <w:bCs/>
          <w:sz w:val="36"/>
          <w:szCs w:val="36"/>
        </w:rPr>
        <w:br w:type="page" w:clear="all"/>
      </w:r>
      <w:r/>
    </w:p>
    <w:p>
      <w:pPr>
        <w:jc w:val="center"/>
        <w:spacing w:before="180"/>
        <w:widowControl/>
        <w:rPr>
          <w:rFonts w:hint="eastAsia" w:asciiTheme="minorEastAsia" w:hAnsiTheme="minorEastAsia" w:cstheme="minorEastAsia"/>
          <w:b/>
          <w:bCs/>
          <w:sz w:val="32"/>
          <w:szCs w:val="32"/>
        </w:rPr>
      </w:pPr>
      <w:r>
        <w:rPr>
          <w:rFonts w:hint="eastAsia" w:asciiTheme="minorEastAsia" w:hAnsiTheme="minorEastAsia" w:cstheme="minorEastAsia"/>
          <w:b/>
          <w:bCs/>
          <w:sz w:val="32"/>
          <w:szCs w:val="32"/>
        </w:rPr>
        <w:t xml:space="preserve">投标文件目录</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一、法人或者其他组织的营业执照等证明文件，自然人的身份证明</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二、上一年度的财务状况报告（至少提供资产负债表、利润表、现金流量表，投标人成立不满一年无需提供）</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三、具备履行合同所必需的设备和专业技术能力的书面声明</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五、参加政府采购活动前3年内在经营活动中没有重大违法记录的书面声明</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六、特定资格要求的证明文件（如果本项目设置特定资格要求，则需要提供）</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七、法人授权书</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八、投标函</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九、中小企业声明函</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十、残疾人福利性单位声明函</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十一、投标分项报价表</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十二、</w:t>
      </w:r>
      <w:bookmarkStart w:id="152" w:name="OLE_LINK23"/>
      <w:r/>
      <w:bookmarkStart w:id="153" w:name="OLE_LINK24"/>
      <w:r>
        <w:rPr>
          <w:rFonts w:hint="eastAsia" w:asciiTheme="minorEastAsia" w:hAnsiTheme="minorEastAsia" w:cstheme="minorEastAsia"/>
          <w:sz w:val="24"/>
        </w:rPr>
        <w:t xml:space="preserve">技术要求响应及偏离表</w:t>
      </w:r>
      <w:bookmarkEnd w:id="152"/>
      <w:r/>
      <w:bookmarkEnd w:id="153"/>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十三、</w:t>
      </w:r>
      <w:bookmarkStart w:id="154" w:name="OLE_LINK22"/>
      <w:r/>
      <w:bookmarkStart w:id="155" w:name="OLE_LINK21"/>
      <w:r>
        <w:rPr>
          <w:rFonts w:hint="eastAsia" w:asciiTheme="minorEastAsia" w:hAnsiTheme="minorEastAsia" w:cstheme="minorEastAsia"/>
          <w:sz w:val="24"/>
        </w:rPr>
        <w:t xml:space="preserve">商务要求响应及偏离表</w:t>
      </w:r>
      <w:bookmarkEnd w:id="154"/>
      <w:r/>
      <w:bookmarkEnd w:id="155"/>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十四、开标一览表</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十五、技术方案等</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十六、盐城市政府采购事前信用承诺书</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r>
      <w:r/>
    </w:p>
    <w:p>
      <w:pPr>
        <w:jc w:val="left"/>
        <w:widowControl/>
        <w:rPr>
          <w:rFonts w:hint="eastAsia" w:cs="Times New Roman" w:asciiTheme="minorEastAsia" w:hAnsiTheme="minorEastAsia"/>
          <w:sz w:val="32"/>
          <w:szCs w:val="32"/>
        </w:rPr>
      </w:pPr>
      <w:r>
        <w:rPr>
          <w:rFonts w:asciiTheme="minorEastAsia" w:hAnsiTheme="minorEastAsia"/>
        </w:rPr>
        <w:br w:type="page" w:clear="all"/>
      </w:r>
      <w:r/>
    </w:p>
    <w:p>
      <w:pPr>
        <w:pStyle w:val="980"/>
        <w:jc w:val="center"/>
        <w:spacing w:beforeAutospacing="0" w:afterAutospacing="0" w:line="400" w:lineRule="exact"/>
        <w:rPr>
          <w:rFonts w:hint="eastAsia" w:ascii="黑体" w:hAnsi="黑体" w:eastAsia="黑体" w:cs="黑体"/>
          <w:i/>
          <w:color w:val="auto"/>
          <w:sz w:val="32"/>
          <w:szCs w:val="32"/>
          <w:u w:val="single"/>
        </w:rPr>
        <w:outlineLvl w:val="1"/>
      </w:pPr>
      <w:r/>
      <w:bookmarkStart w:id="156" w:name="_Toc120614284"/>
      <w:r>
        <w:rPr>
          <w:rFonts w:hint="eastAsia" w:ascii="黑体" w:hAnsi="黑体" w:eastAsia="黑体" w:cs="黑体"/>
          <w:i/>
          <w:color w:val="auto"/>
          <w:sz w:val="32"/>
          <w:szCs w:val="32"/>
          <w:u w:val="single"/>
        </w:rPr>
        <w:t xml:space="preserve">一、法人或者其他组织的营业执照等证明文件，自然人的   身份证明</w:t>
      </w:r>
      <w:r/>
    </w:p>
    <w:p>
      <w:pPr>
        <w:jc w:val="center"/>
        <w:spacing w:before="180"/>
        <w:widowControl/>
        <w:rPr>
          <w:rFonts w:hint="eastAsia" w:asciiTheme="minorEastAsia" w:hAnsiTheme="minorEastAsia" w:cstheme="minorEastAsia"/>
          <w:b/>
          <w:bCs/>
          <w:sz w:val="32"/>
          <w:szCs w:val="32"/>
        </w:rPr>
      </w:pPr>
      <w:r>
        <w:rPr>
          <w:rFonts w:hint="eastAsia" w:asciiTheme="minorEastAsia" w:hAnsiTheme="minorEastAsia" w:cstheme="minorEastAsia"/>
          <w:b/>
          <w:bCs/>
          <w:sz w:val="32"/>
          <w:szCs w:val="32"/>
        </w:rPr>
        <w:t xml:space="preserve"> </w:t>
      </w:r>
      <w:r/>
    </w:p>
    <w:p>
      <w:pPr>
        <w:jc w:val="left"/>
        <w:widowControl/>
        <w:rPr>
          <w:rFonts w:hint="eastAsia"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pStyle w:val="980"/>
        <w:jc w:val="center"/>
        <w:spacing w:beforeAutospacing="0" w:afterAutospacing="0" w:line="400" w:lineRule="exact"/>
        <w:rPr>
          <w:rFonts w:hint="eastAsia"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二、上一年度的财务状况报告</w:t>
      </w:r>
      <w:r/>
    </w:p>
    <w:p>
      <w:pPr>
        <w:jc w:val="center"/>
        <w:tabs>
          <w:tab w:val="left" w:pos="1331" w:leader="none"/>
        </w:tabs>
        <w:rPr>
          <w:rFonts w:hint="eastAsia" w:ascii="宋体" w:hAnsi="宋体" w:eastAsia="宋体" w:cs="宋体"/>
          <w:iCs/>
          <w:sz w:val="24"/>
        </w:rPr>
      </w:pPr>
      <w:r>
        <w:rPr>
          <w:rFonts w:hint="eastAsia" w:ascii="宋体" w:hAnsi="宋体" w:eastAsia="宋体" w:cs="宋体"/>
          <w:iCs/>
          <w:sz w:val="24"/>
        </w:rPr>
        <w:t xml:space="preserve">（至少提供资产负债表、利润表、现金流量表，投标人成立不满一年无需提供）</w:t>
      </w:r>
      <w:r/>
    </w:p>
    <w:p>
      <w:pPr>
        <w:pStyle w:val="770"/>
        <w:ind w:firstLine="492"/>
        <w:jc w:val="center"/>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pStyle w:val="980"/>
        <w:jc w:val="center"/>
        <w:spacing w:beforeAutospacing="0" w:afterAutospacing="0" w:line="400" w:lineRule="exact"/>
        <w:rPr>
          <w:rFonts w:hint="eastAsia"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三、具备履行合同所必需的设备和专业技术能力的书面声明</w:t>
      </w:r>
      <w:r/>
    </w:p>
    <w:p>
      <w:pPr>
        <w:pStyle w:val="770"/>
        <w:ind w:firstLine="480"/>
        <w:jc w:val="both"/>
        <w:spacing w:before="0" w:after="0"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我单位郑重声明：我单位具备履行本项采购合同所必需的设备和专业技术能力，为履行本项采购合同我公司具备如下主要设备和主要专业技术能力：</w:t>
      </w:r>
      <w:r/>
    </w:p>
    <w:p>
      <w:pPr>
        <w:pStyle w:val="770"/>
        <w:ind w:firstLine="480"/>
        <w:jc w:val="both"/>
        <w:spacing w:before="0" w:after="0"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主要设备有：</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w:t>
      </w:r>
      <w:r/>
    </w:p>
    <w:p>
      <w:pPr>
        <w:pStyle w:val="770"/>
        <w:ind w:firstLine="480"/>
        <w:jc w:val="both"/>
        <w:spacing w:before="0" w:after="0"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主要专业技术能力有：</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w:t>
      </w:r>
      <w:r/>
    </w:p>
    <w:p>
      <w:pPr>
        <w:pStyle w:val="770"/>
        <w:ind w:firstLine="492"/>
        <w:jc w:val="center"/>
        <w:widowControl/>
        <w:rPr>
          <w:rFonts w:hint="eastAsia" w:ascii="方正小标宋_GBK" w:hAnsi="宋体" w:eastAsia="方正小标宋_GBK" w:cs="宋体"/>
          <w:iCs/>
          <w:sz w:val="24"/>
          <w:szCs w:val="24"/>
        </w:rPr>
      </w:pPr>
      <w:r>
        <w:rPr>
          <w:rFonts w:hint="eastAsia" w:ascii="方正小标宋_GBK" w:hAnsi="宋体" w:eastAsia="方正小标宋_GBK" w:cs="宋体"/>
          <w:iCs/>
          <w:sz w:val="24"/>
          <w:szCs w:val="24"/>
        </w:rPr>
      </w:r>
      <w:r/>
    </w:p>
    <w:p>
      <w:pPr>
        <w:jc w:val="left"/>
        <w:widowControl/>
        <w:rPr>
          <w:rFonts w:hint="eastAsia"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pStyle w:val="980"/>
        <w:jc w:val="center"/>
        <w:spacing w:beforeAutospacing="0" w:afterAutospacing="0" w:line="400" w:lineRule="exact"/>
        <w:rPr>
          <w:rFonts w:hint="eastAsia"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四、依法缴纳税收和社会保障资金的相关材料</w:t>
      </w:r>
      <w:r/>
    </w:p>
    <w:p>
      <w:pPr>
        <w:pStyle w:val="770"/>
        <w:ind w:firstLine="480"/>
        <w:jc w:val="both"/>
        <w:spacing w:before="0" w:after="0"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提供提交响应文件截止时间前一年内至少一个月依法缴纳税收及缴纳社会保障资金的证明材料。</w:t>
      </w:r>
      <w:r>
        <w:rPr>
          <w:rFonts w:hint="eastAsia" w:asciiTheme="minorEastAsia" w:hAnsiTheme="minorEastAsia" w:eastAsia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依法享受缓缴、免缴税收、社会保障资金的提供证明材料。</w:t>
      </w:r>
      <w:r/>
    </w:p>
    <w:p>
      <w:pPr>
        <w:pStyle w:val="770"/>
        <w:ind w:firstLine="492"/>
        <w:jc w:val="both"/>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pStyle w:val="980"/>
        <w:jc w:val="center"/>
        <w:spacing w:beforeAutospacing="0" w:afterAutospacing="0" w:line="400" w:lineRule="exact"/>
        <w:rPr>
          <w:rFonts w:hint="eastAsia"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五、参加政府采购活动前3年内在经营活动中没有重大违法记录的书面声明</w:t>
      </w:r>
      <w:r/>
    </w:p>
    <w:p>
      <w:pPr>
        <w:pStyle w:val="770"/>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770"/>
        <w:ind w:firstLine="480"/>
        <w:jc w:val="both"/>
        <w:spacing w:before="0" w:after="0"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770"/>
        <w:ind w:firstLine="492"/>
        <w:jc w:val="both"/>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p>
      <w:pPr>
        <w:jc w:val="left"/>
        <w:widowControl/>
        <w:rPr>
          <w:rFonts w:hint="eastAsia"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pStyle w:val="980"/>
        <w:jc w:val="center"/>
        <w:spacing w:beforeAutospacing="0" w:afterAutospacing="0" w:line="400" w:lineRule="exact"/>
        <w:rPr>
          <w:rFonts w:hint="eastAsia"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六、特定资格要求的证明文件</w:t>
      </w:r>
      <w:r/>
    </w:p>
    <w:p>
      <w:pPr>
        <w:pStyle w:val="770"/>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如果本项目申请人的特定资格要求中要求提供的，必须提供。</w:t>
      </w:r>
      <w:r/>
    </w:p>
    <w:p>
      <w:pPr>
        <w:jc w:val="left"/>
        <w:widowControl/>
        <w:rPr>
          <w:rFonts w:hint="eastAsia" w:cs="Times New Roman" w:asciiTheme="minorEastAsia" w:hAnsiTheme="minorEastAsia"/>
          <w:sz w:val="32"/>
          <w:szCs w:val="32"/>
        </w:rPr>
      </w:pPr>
      <w:r>
        <w:rPr>
          <w:rFonts w:asciiTheme="minorEastAsia" w:hAnsiTheme="minorEastAsia"/>
        </w:rPr>
        <w:br w:type="page" w:clear="all"/>
      </w:r>
      <w:r/>
    </w:p>
    <w:p>
      <w:pPr>
        <w:pStyle w:val="980"/>
        <w:jc w:val="center"/>
        <w:spacing w:beforeAutospacing="0" w:afterAutospacing="0" w:line="400" w:lineRule="exact"/>
        <w:rPr>
          <w:rFonts w:hint="eastAsia"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七、法人授权书</w:t>
      </w:r>
      <w:r/>
    </w:p>
    <w:p>
      <w:pPr>
        <w:pStyle w:val="770"/>
        <w:ind w:firstLine="480"/>
        <w:jc w:val="both"/>
        <w:spacing w:before="0" w:after="0"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本授权书声明：</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名称）授权</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（被授权人的姓名）为我方就</w:t>
      </w:r>
      <w:r>
        <w:rPr>
          <w:rFonts w:hint="eastAsia" w:asciiTheme="minorEastAsia" w:hAnsiTheme="minorEastAsia" w:eastAsiaTheme="minorEastAsia" w:cstheme="minorEastAsia"/>
          <w:sz w:val="24"/>
          <w:szCs w:val="24"/>
          <w:u w:val="single"/>
        </w:rPr>
        <w:t xml:space="preserve">JSZC-320900-JZCG-G2025-0068</w:t>
      </w:r>
      <w:r>
        <w:rPr>
          <w:rFonts w:hint="eastAsia" w:asciiTheme="minorEastAsia" w:hAnsiTheme="minorEastAsia" w:eastAsiaTheme="minorEastAsia" w:cstheme="minorEastAsia"/>
          <w:sz w:val="24"/>
          <w:szCs w:val="24"/>
        </w:rPr>
        <w:t xml:space="preserve">号</w:t>
      </w:r>
      <w:r>
        <w:rPr>
          <w:rFonts w:hint="eastAsia" w:asciiTheme="minorEastAsia" w:hAnsiTheme="minorEastAsia" w:eastAsiaTheme="minorEastAsia" w:cstheme="minorEastAsia"/>
          <w:sz w:val="24"/>
          <w:szCs w:val="24"/>
          <w:u w:val="single"/>
        </w:rPr>
        <w:t xml:space="preserve">盐城市“公共数据平台”数据安全和治理应用功能模块建设升级项目</w:t>
      </w:r>
      <w:r>
        <w:rPr>
          <w:rFonts w:hint="eastAsia" w:asciiTheme="minorEastAsia" w:hAnsiTheme="minorEastAsia" w:eastAsiaTheme="minorEastAsia" w:cstheme="minorEastAsia"/>
          <w:sz w:val="24"/>
          <w:szCs w:val="24"/>
        </w:rPr>
        <w:t xml:space="preserve">采购活动的合法代理人，以本单位名义全权处理一切与该项目采购有关的事务。</w:t>
      </w:r>
      <w:r/>
    </w:p>
    <w:p>
      <w:pPr>
        <w:pStyle w:val="770"/>
        <w:ind w:firstLine="480"/>
        <w:jc w:val="both"/>
        <w:spacing w:before="0" w:after="0"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本授权书于</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日起生效，特此声明。</w:t>
      </w:r>
      <w:r/>
    </w:p>
    <w:p>
      <w:pPr>
        <w:pStyle w:val="770"/>
        <w:ind w:firstLine="480"/>
        <w:jc w:val="both"/>
        <w:spacing w:before="0" w:after="0" w:line="560" w:lineRule="exact"/>
        <w:widowControl/>
        <w:tabs>
          <w:tab w:val="left" w:pos="360" w:leader="none"/>
        </w:tabs>
        <w:rPr>
          <w:rFonts w:hint="eastAsia" w:asciiTheme="minorEastAsia" w:hAnsiTheme="minorEastAsia" w:eastAsiaTheme="minorEastAsia" w:cstheme="minorEastAsia"/>
          <w:sz w:val="24"/>
          <w:szCs w:val="24"/>
        </w:rPr>
      </w:pPr>
      <w:r/>
      <w:bookmarkStart w:id="157" w:name="_Hlt26671380"/>
      <w:r/>
      <w:bookmarkStart w:id="158" w:name="_Hlt26955070"/>
      <w:r/>
      <w:bookmarkStart w:id="159" w:name="_格式3__银行出具的资信证明"/>
      <w:r>
        <w:rPr>
          <w:rFonts w:hint="eastAsia" w:asciiTheme="minorEastAsia" w:hAnsiTheme="minorEastAsia" w:eastAsiaTheme="minorEastAsia" w:cstheme="minorEastAsia"/>
          <w:sz w:val="24"/>
          <w:szCs w:val="24"/>
        </w:rPr>
        <w:t xml:space="preserve">被授权人身份证号码：</w:t>
      </w:r>
      <w:r>
        <w:rPr>
          <w:rFonts w:hint="eastAsia" w:asciiTheme="minorEastAsia" w:hAnsiTheme="minorEastAsia" w:eastAsiaTheme="minorEastAsia" w:cstheme="minorEastAsia"/>
          <w:sz w:val="24"/>
          <w:szCs w:val="24"/>
          <w:u w:val="single"/>
        </w:rPr>
        <w:t xml:space="preserve">                    </w:t>
      </w:r>
      <w:r/>
    </w:p>
    <w:p>
      <w:pPr>
        <w:pStyle w:val="770"/>
        <w:ind w:firstLine="480"/>
        <w:jc w:val="both"/>
        <w:spacing w:before="0" w:after="0" w:line="560" w:lineRule="exact"/>
        <w:widowControl/>
        <w:tabs>
          <w:tab w:val="left" w:pos="3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被授权人联系电话：</w:t>
      </w:r>
      <w:r>
        <w:rPr>
          <w:rFonts w:hint="eastAsia" w:asciiTheme="minorEastAsia" w:hAnsiTheme="minorEastAsia" w:eastAsiaTheme="minorEastAsia" w:cstheme="minorEastAsia"/>
          <w:sz w:val="24"/>
          <w:szCs w:val="24"/>
          <w:u w:val="single"/>
        </w:rPr>
        <w:t xml:space="preserve">（手机）              </w:t>
      </w:r>
      <w:r/>
    </w:p>
    <w:p>
      <w:pPr>
        <w:pStyle w:val="770"/>
        <w:ind w:firstLine="480"/>
        <w:jc w:val="both"/>
        <w:spacing w:before="0" w:after="0" w:line="560" w:lineRule="exact"/>
        <w:widowControl/>
        <w:tabs>
          <w:tab w:val="left" w:pos="3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授权单位名称：</w:t>
      </w:r>
      <w:r>
        <w:rPr>
          <w:rFonts w:hint="eastAsia" w:asciiTheme="minorEastAsia" w:hAnsiTheme="minorEastAsia" w:eastAsiaTheme="minorEastAsia" w:cstheme="minorEastAsia"/>
          <w:sz w:val="24"/>
          <w:szCs w:val="24"/>
          <w:u w:val="single"/>
        </w:rPr>
        <w:t xml:space="preserve">    （加盖CA电子公章）    </w:t>
      </w:r>
      <w:r/>
    </w:p>
    <w:p>
      <w:pPr>
        <w:pStyle w:val="770"/>
        <w:ind w:firstLine="480"/>
        <w:jc w:val="both"/>
        <w:spacing w:before="0" w:after="0" w:line="560" w:lineRule="exact"/>
        <w:widowControl/>
        <w:tabs>
          <w:tab w:val="left" w:pos="3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单位地址：</w:t>
      </w:r>
      <w:r>
        <w:rPr>
          <w:rFonts w:hint="eastAsia" w:asciiTheme="minorEastAsia" w:hAnsiTheme="minorEastAsia" w:eastAsiaTheme="minorEastAsia" w:cstheme="minorEastAsia"/>
          <w:sz w:val="24"/>
          <w:szCs w:val="24"/>
          <w:u w:val="single"/>
        </w:rPr>
        <w:t xml:space="preserve">                              </w:t>
      </w:r>
      <w:r/>
    </w:p>
    <w:p>
      <w:pPr>
        <w:pStyle w:val="770"/>
        <w:ind w:firstLine="480"/>
        <w:jc w:val="both"/>
        <w:spacing w:before="0" w:after="0" w:line="560" w:lineRule="exact"/>
        <w:widowControl/>
        <w:tabs>
          <w:tab w:val="left" w:pos="3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rPr>
          <w:rFonts w:hint="eastAsia" w:asciiTheme="minorEastAsia" w:hAnsiTheme="minorEastAsia" w:eastAsiaTheme="minorEastAsia" w:cstheme="minorEastAsia"/>
          <w:sz w:val="24"/>
          <w:szCs w:val="24"/>
          <w:u w:val="single"/>
        </w:rPr>
        <w:t xml:space="preserve">                              </w:t>
      </w:r>
      <w:r/>
    </w:p>
    <w:p>
      <w:pPr>
        <w:pStyle w:val="770"/>
        <w:ind w:firstLine="480"/>
        <w:jc w:val="both"/>
        <w:spacing w:before="0" w:after="0"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pStyle w:val="980"/>
        <w:jc w:val="center"/>
        <w:spacing w:beforeAutospacing="0" w:afterAutospacing="0" w:line="400" w:lineRule="exact"/>
        <w:rPr>
          <w:rFonts w:hint="eastAsia"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八、投标函</w:t>
      </w:r>
      <w:r/>
    </w:p>
    <w:p>
      <w:pPr>
        <w:jc w:val="left"/>
        <w:spacing w:line="500" w:lineRule="exact"/>
        <w:rPr>
          <w:rFonts w:hint="eastAsia" w:ascii="宋体" w:hAnsi="宋体" w:cs="宋体"/>
          <w:sz w:val="24"/>
        </w:rPr>
      </w:pPr>
      <w:r>
        <w:rPr>
          <w:rFonts w:hint="eastAsia" w:ascii="宋体" w:hAnsi="宋体" w:cs="宋体"/>
          <w:sz w:val="24"/>
        </w:rPr>
        <w:t xml:space="preserve">致：盐城市政府采购中心</w:t>
      </w:r>
      <w:r/>
    </w:p>
    <w:p>
      <w:pPr>
        <w:ind w:firstLine="480"/>
        <w:jc w:val="left"/>
        <w:spacing w:line="500" w:lineRule="exact"/>
        <w:rPr>
          <w:rFonts w:hint="eastAsia" w:ascii="宋体" w:hAnsi="宋体" w:cs="宋体"/>
          <w:sz w:val="24"/>
        </w:rPr>
      </w:pPr>
      <w:r>
        <w:rPr>
          <w:rFonts w:hint="eastAsia" w:ascii="宋体" w:hAnsi="宋体" w:cs="宋体"/>
          <w:sz w:val="24"/>
        </w:rPr>
        <w:t xml:space="preserve">根据贵方的</w:t>
      </w:r>
      <w:r>
        <w:rPr>
          <w:rFonts w:ascii="Arial" w:hAnsi="Arial" w:eastAsia="Arial" w:cs="Arial"/>
          <w:color w:val="000000" w:themeColor="text1"/>
          <w:sz w:val="21"/>
          <w:highlight w:val="white"/>
          <w:u w:val="single"/>
        </w:rPr>
        <w:t xml:space="preserve">JSZC-320900-JZCG-G2025-0068</w:t>
      </w:r>
      <w:r>
        <w:rPr>
          <w:rFonts w:hint="eastAsia" w:ascii="宋体" w:hAnsi="宋体" w:cs="宋体"/>
          <w:sz w:val="24"/>
        </w:rPr>
        <w:t xml:space="preserve">号招标文件，正式授权下述签字人______（姓名）代表我方______________（投标人的名称），全权处理本次项目投标的有关事宜。</w:t>
      </w:r>
      <w:r/>
    </w:p>
    <w:p>
      <w:pPr>
        <w:ind w:firstLine="480"/>
        <w:jc w:val="left"/>
        <w:spacing w:line="500" w:lineRule="exact"/>
        <w:rPr>
          <w:rFonts w:hint="eastAsia" w:ascii="宋体" w:hAnsi="宋体" w:cs="宋体"/>
          <w:sz w:val="24"/>
        </w:rPr>
      </w:pPr>
      <w:r>
        <w:rPr>
          <w:rFonts w:hint="eastAsia" w:ascii="宋体" w:hAnsi="宋体" w:cs="宋体"/>
          <w:sz w:val="24"/>
        </w:rPr>
        <w:t xml:space="preserve">据此函，__________签字人兹宣布同意如下：</w:t>
      </w:r>
      <w:r/>
    </w:p>
    <w:p>
      <w:pPr>
        <w:ind w:firstLine="480"/>
        <w:jc w:val="left"/>
        <w:spacing w:line="500" w:lineRule="exact"/>
        <w:rPr>
          <w:rFonts w:hint="eastAsia" w:ascii="宋体" w:hAnsi="宋体" w:cs="宋体"/>
          <w:sz w:val="24"/>
        </w:rPr>
      </w:pPr>
      <w:r>
        <w:rPr>
          <w:rFonts w:hint="eastAsia" w:ascii="宋体" w:hAnsi="宋体" w:cs="宋体"/>
          <w:sz w:val="24"/>
        </w:rPr>
        <w:t xml:space="preserve">1.按照招标文件规定的各项要求，向买方提供所需服务（包含与服务相关的货物）。</w:t>
      </w:r>
      <w:r/>
    </w:p>
    <w:p>
      <w:pPr>
        <w:ind w:firstLine="480"/>
        <w:jc w:val="left"/>
        <w:spacing w:line="500" w:lineRule="exact"/>
        <w:rPr>
          <w:rFonts w:hint="eastAsia" w:ascii="宋体" w:hAnsi="宋体" w:cs="宋体"/>
          <w:sz w:val="24"/>
        </w:rPr>
      </w:pPr>
      <w:r>
        <w:rPr>
          <w:rFonts w:hint="eastAsia" w:ascii="宋体" w:hAnsi="宋体" w:cs="宋体"/>
          <w:sz w:val="24"/>
        </w:rPr>
        <w:t xml:space="preserve">2.我们完全理解贵方不一定将合同授予最低报价的投标人。</w:t>
      </w:r>
      <w:r/>
    </w:p>
    <w:p>
      <w:pPr>
        <w:ind w:firstLine="480"/>
        <w:jc w:val="left"/>
        <w:spacing w:line="500" w:lineRule="exact"/>
        <w:rPr>
          <w:rFonts w:hint="eastAsia"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w:t>
      </w:r>
      <w:r>
        <w:rPr>
          <w:rFonts w:hint="eastAsia" w:ascii="宋体" w:hAnsi="宋体" w:cs="宋体"/>
          <w:sz w:val="24"/>
          <w:lang w:eastAsia="zh-CN"/>
        </w:rPr>
        <w:t xml:space="preserve">间内</w:t>
      </w:r>
      <w:r>
        <w:rPr>
          <w:rFonts w:hint="eastAsia" w:ascii="宋体" w:hAnsi="宋体" w:cs="宋体"/>
          <w:sz w:val="24"/>
        </w:rPr>
        <w:t xml:space="preserve">完成项目，交付买方验收、使用。</w:t>
      </w:r>
      <w:r/>
    </w:p>
    <w:p>
      <w:pPr>
        <w:ind w:firstLine="480"/>
        <w:jc w:val="left"/>
        <w:spacing w:line="500" w:lineRule="exact"/>
        <w:rPr>
          <w:rFonts w:hint="eastAsia" w:ascii="宋体" w:hAnsi="宋体" w:cs="宋体"/>
          <w:sz w:val="24"/>
        </w:rPr>
      </w:pPr>
      <w:r>
        <w:rPr>
          <w:rFonts w:hint="eastAsia" w:ascii="宋体" w:hAnsi="宋体" w:cs="宋体"/>
          <w:sz w:val="24"/>
        </w:rPr>
        <w:t xml:space="preserve">7.与本投标有关的正式通讯地址为：</w:t>
      </w:r>
      <w:r/>
    </w:p>
    <w:p>
      <w:pPr>
        <w:ind w:firstLine="480"/>
        <w:jc w:val="left"/>
        <w:spacing w:line="500" w:lineRule="exact"/>
        <w:rPr>
          <w:rFonts w:hint="eastAsia" w:ascii="宋体" w:hAnsi="宋体" w:cs="宋体"/>
          <w:sz w:val="24"/>
        </w:rPr>
      </w:pPr>
      <w:r>
        <w:rPr>
          <w:rFonts w:hint="eastAsia" w:ascii="宋体" w:hAnsi="宋体" w:cs="宋体"/>
          <w:sz w:val="24"/>
        </w:rPr>
        <w:t xml:space="preserve">地        址：</w:t>
      </w:r>
      <w:r/>
    </w:p>
    <w:p>
      <w:pPr>
        <w:ind w:firstLine="480"/>
        <w:jc w:val="left"/>
        <w:spacing w:line="500" w:lineRule="exact"/>
        <w:rPr>
          <w:rFonts w:hint="eastAsia" w:ascii="宋体" w:hAnsi="宋体" w:cs="宋体"/>
          <w:sz w:val="24"/>
        </w:rPr>
      </w:pPr>
      <w:r>
        <w:rPr>
          <w:rFonts w:hint="eastAsia" w:ascii="宋体" w:hAnsi="宋体" w:cs="宋体"/>
          <w:sz w:val="24"/>
        </w:rPr>
        <w:t xml:space="preserve">邮        编：</w:t>
      </w:r>
      <w:r/>
    </w:p>
    <w:p>
      <w:pPr>
        <w:ind w:firstLine="480"/>
        <w:jc w:val="left"/>
        <w:spacing w:line="500" w:lineRule="exact"/>
        <w:rPr>
          <w:rFonts w:hint="eastAsia" w:ascii="宋体" w:hAnsi="宋体" w:cs="宋体"/>
          <w:sz w:val="24"/>
        </w:rPr>
      </w:pPr>
      <w:r>
        <w:rPr>
          <w:rFonts w:hint="eastAsia" w:ascii="宋体" w:hAnsi="宋体" w:cs="宋体"/>
          <w:sz w:val="24"/>
        </w:rPr>
        <w:t xml:space="preserve">电        话：</w:t>
      </w:r>
      <w:r/>
    </w:p>
    <w:p>
      <w:pPr>
        <w:ind w:firstLine="480"/>
        <w:jc w:val="left"/>
        <w:spacing w:line="500" w:lineRule="exact"/>
        <w:rPr>
          <w:rFonts w:hint="eastAsia" w:ascii="宋体" w:hAnsi="宋体" w:cs="宋体"/>
          <w:sz w:val="24"/>
        </w:rPr>
      </w:pPr>
      <w:r>
        <w:rPr>
          <w:rFonts w:hint="eastAsia" w:ascii="宋体" w:hAnsi="宋体" w:cs="宋体"/>
          <w:sz w:val="24"/>
        </w:rPr>
        <w:t xml:space="preserve">传        真：</w:t>
      </w:r>
      <w:r/>
    </w:p>
    <w:p>
      <w:pPr>
        <w:ind w:firstLine="480"/>
        <w:jc w:val="left"/>
        <w:spacing w:line="500" w:lineRule="exact"/>
        <w:rPr>
          <w:rFonts w:hint="eastAsia" w:ascii="宋体" w:hAnsi="宋体" w:cs="宋体"/>
          <w:sz w:val="24"/>
        </w:rPr>
      </w:pPr>
      <w:r>
        <w:rPr>
          <w:rFonts w:hint="eastAsia" w:ascii="宋体" w:hAnsi="宋体" w:cs="宋体"/>
          <w:sz w:val="24"/>
        </w:rPr>
        <w:t xml:space="preserve">投标人开户行：</w:t>
      </w:r>
      <w:r/>
    </w:p>
    <w:p>
      <w:pPr>
        <w:ind w:firstLine="480"/>
        <w:jc w:val="left"/>
        <w:spacing w:line="500" w:lineRule="exact"/>
        <w:rPr>
          <w:rFonts w:hint="eastAsia" w:ascii="宋体" w:hAnsi="宋体" w:cs="宋体"/>
          <w:sz w:val="24"/>
        </w:rPr>
      </w:pPr>
      <w:r>
        <w:rPr>
          <w:rFonts w:hint="eastAsia" w:ascii="宋体" w:hAnsi="宋体" w:cs="宋体"/>
          <w:sz w:val="24"/>
        </w:rPr>
        <w:t xml:space="preserve">账        号： </w:t>
      </w:r>
      <w:r/>
    </w:p>
    <w:p>
      <w:pPr>
        <w:ind w:firstLine="480"/>
        <w:jc w:val="left"/>
        <w:spacing w:line="500" w:lineRule="exact"/>
      </w:pPr>
      <w:r>
        <w:rPr>
          <w:rFonts w:hint="eastAsia" w:ascii="宋体" w:hAnsi="宋体" w:cs="宋体"/>
          <w:sz w:val="24"/>
        </w:rPr>
        <w:t xml:space="preserve">日        期：______年____月____日</w:t>
      </w:r>
      <w:r>
        <w:t xml:space="preserve"> </w:t>
      </w:r>
      <w:r/>
    </w:p>
    <w:p>
      <w:pPr>
        <w:jc w:val="left"/>
        <w:widowControl/>
        <w:rPr>
          <w:rFonts w:hint="eastAsia" w:ascii="黑体" w:hAnsi="黑体" w:eastAsia="黑体" w:cs="黑体"/>
          <w:i/>
          <w:sz w:val="32"/>
          <w:szCs w:val="32"/>
        </w:rPr>
      </w:pPr>
      <w:r>
        <w:rPr>
          <w:rFonts w:ascii="黑体" w:hAnsi="黑体" w:eastAsia="黑体" w:cs="黑体"/>
          <w:i/>
          <w:sz w:val="32"/>
          <w:szCs w:val="32"/>
        </w:rPr>
        <w:br w:type="page" w:clear="all"/>
      </w:r>
      <w:r/>
    </w:p>
    <w:p>
      <w:pPr>
        <w:pStyle w:val="980"/>
        <w:jc w:val="center"/>
        <w:spacing w:beforeAutospacing="0" w:afterAutospacing="0" w:line="400" w:lineRule="exact"/>
        <w:rPr>
          <w:rFonts w:hint="eastAsia"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九、中小企业声明函（服务）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w:t>
      </w:r>
      <w:r>
        <w:rPr>
          <w:rFonts w:hint="eastAsia" w:ascii="宋体" w:hAnsi="宋体" w:cs="宋体"/>
          <w:sz w:val="24"/>
        </w:rPr>
        <w:t xml:space="preserve">（</w:t>
      </w:r>
      <w:r>
        <w:rPr>
          <w:rFonts w:ascii="宋体" w:hAnsi="宋体" w:cs="宋体"/>
          <w:sz w:val="24"/>
        </w:rPr>
        <w:t xml:space="preserve">财库</w:t>
      </w:r>
      <w:r>
        <w:rPr>
          <w:rFonts w:hint="eastAsia" w:ascii="宋体" w:hAnsi="宋体" w:cs="宋体"/>
          <w:sz w:val="24"/>
        </w:rPr>
        <w:t xml:space="preserve">〔2020〕46号）</w:t>
      </w:r>
      <w:r>
        <w:rPr>
          <w:rFonts w:ascii="宋体" w:hAnsi="宋体" w:cs="宋体"/>
          <w:sz w:val="24"/>
        </w:rPr>
        <w:t xml:space="preserve">的规定，本公司（联合体）参加盐城市政府采购中心组织的</w:t>
      </w:r>
      <w:r>
        <w:rPr>
          <w:rFonts w:hint="eastAsia" w:ascii="宋体" w:hAnsi="宋体" w:cs="宋体"/>
          <w:sz w:val="24"/>
          <w:szCs w:val="24"/>
          <w:u w:val="single"/>
        </w:rPr>
        <w:t xml:space="preserve">盐城市大数据管理中心</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szCs w:val="24"/>
          <w:u w:val="single"/>
        </w:rPr>
        <w:t xml:space="preserve">JSZC-320900-JZCG-G2025-0068</w:t>
      </w:r>
      <w:r>
        <w:rPr>
          <w:rFonts w:ascii="宋体" w:hAnsi="宋体" w:cs="宋体"/>
          <w:sz w:val="24"/>
        </w:rPr>
        <w:t xml:space="preserve">，</w:t>
      </w:r>
      <w:r>
        <w:rPr>
          <w:rFonts w:hint="eastAsia" w:ascii="宋体" w:hAnsi="宋体" w:cs="宋体"/>
          <w:sz w:val="24"/>
          <w:u w:val="single"/>
        </w:rPr>
        <w:t xml:space="preserve">盐城市“公共数据平台”数据安全和治理应用功能模块建设升级项目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w:t>
      </w:r>
      <w:r>
        <w:rPr>
          <w:rFonts w:hint="eastAsia" w:ascii="宋体" w:hAnsi="宋体" w:cs="宋体"/>
          <w:sz w:val="24"/>
        </w:rPr>
        <w:t xml:space="preserve">（</w:t>
      </w:r>
      <w:r>
        <w:rPr>
          <w:rFonts w:ascii="宋体" w:hAnsi="宋体" w:cs="宋体"/>
          <w:sz w:val="24"/>
        </w:rPr>
        <w:t xml:space="preserve">工信部联企业</w:t>
      </w:r>
      <w:r>
        <w:rPr>
          <w:rFonts w:hint="eastAsia" w:ascii="宋体" w:hAnsi="宋体" w:cs="宋体"/>
          <w:sz w:val="24"/>
          <w:lang w:eastAsia="zh-CN"/>
        </w:rPr>
        <w:t xml:space="preserve">〔2011〕300号</w:t>
      </w:r>
      <w:r>
        <w:rPr>
          <w:rFonts w:hint="eastAsia" w:ascii="宋体" w:hAnsi="宋体" w:cs="宋体"/>
          <w:sz w:val="24"/>
        </w:rPr>
        <w:t xml:space="preserve">）</w:t>
      </w:r>
      <w:r>
        <w:rPr>
          <w:rFonts w:ascii="宋体" w:hAnsi="宋体" w:cs="宋体"/>
          <w:sz w:val="24"/>
        </w:rPr>
        <w:t xml:space="preserve">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本企业对上述声明内容的真实性负责。如有虚假，将依法承担相应责任</w:t>
      </w:r>
      <w:r>
        <w:rPr>
          <w:rFonts w:hint="eastAsia" w:ascii="宋体" w:hAnsi="宋体" w:cs="宋体"/>
          <w:sz w:val="24"/>
        </w:rPr>
        <w:t xml:space="preserve">。</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备注2：</w:t>
      </w:r>
      <w:r>
        <w:rPr>
          <w:rFonts w:hint="eastAsia" w:ascii="宋体" w:hAnsi="宋体" w:eastAsia="宋体" w:cs="宋体"/>
          <w:sz w:val="24"/>
          <w:lang w:eastAsia="zh-CN"/>
        </w:rPr>
        <w:t xml:space="preserve">投标人</w:t>
      </w:r>
      <w:r>
        <w:rPr>
          <w:rFonts w:ascii="宋体" w:hAnsi="宋体" w:eastAsia="宋体" w:cs="宋体"/>
          <w:sz w:val="24"/>
        </w:rPr>
        <w:t xml:space="preserve">如不提供此声明函，价格将不做相应扣除（如项目全面面向中小企业，则资格审查不通过）。</w:t>
      </w:r>
      <w:r/>
    </w:p>
    <w:p>
      <w:pPr>
        <w:jc w:val="left"/>
        <w:widowControl/>
        <w:rPr>
          <w:rFonts w:hint="eastAsia" w:ascii="黑体" w:hAnsi="黑体" w:eastAsia="黑体" w:cs="黑体"/>
          <w:i/>
          <w:sz w:val="32"/>
          <w:szCs w:val="32"/>
        </w:rPr>
      </w:pPr>
      <w:r>
        <w:rPr>
          <w:rFonts w:ascii="黑体" w:hAnsi="黑体" w:eastAsia="黑体" w:cs="黑体"/>
          <w:i/>
          <w:sz w:val="32"/>
          <w:szCs w:val="32"/>
        </w:rPr>
        <w:br w:type="page" w:clear="all"/>
      </w:r>
      <w:r/>
    </w:p>
    <w:p>
      <w:pPr>
        <w:pStyle w:val="980"/>
        <w:jc w:val="center"/>
        <w:spacing w:beforeAutospacing="0" w:afterAutospacing="0" w:line="400" w:lineRule="exact"/>
        <w:rPr>
          <w:rFonts w:hint="eastAsia"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十、残疾人福利性单位声明函</w:t>
      </w:r>
      <w:r/>
    </w:p>
    <w:p>
      <w:pPr>
        <w:ind w:firstLine="480"/>
        <w:jc w:val="left"/>
        <w:spacing w:line="520" w:lineRule="exact"/>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szCs w:val="24"/>
          <w:u w:val="single"/>
        </w:rPr>
        <w:t xml:space="preserve">盐城市大数据管理中心</w:t>
      </w:r>
      <w:r>
        <w:rPr>
          <w:rFonts w:hint="eastAsia" w:ascii="宋体" w:hAnsi="宋体" w:cs="宋体"/>
          <w:sz w:val="24"/>
        </w:rPr>
        <w:t xml:space="preserve">单位的采购文件编号为</w:t>
      </w:r>
      <w:r>
        <w:rPr>
          <w:rFonts w:hint="eastAsia" w:ascii="宋体" w:hAnsi="宋体" w:cs="宋体"/>
          <w:sz w:val="24"/>
          <w:szCs w:val="24"/>
          <w:u w:val="single"/>
        </w:rPr>
        <w:t xml:space="preserve">JSZC-320900-JZCG-G2025-0068</w:t>
      </w:r>
      <w:r>
        <w:rPr>
          <w:rFonts w:hint="eastAsia" w:ascii="宋体" w:hAnsi="宋体" w:cs="宋体"/>
          <w:sz w:val="24"/>
        </w:rPr>
        <w:t xml:space="preserve">的</w:t>
      </w:r>
      <w:r>
        <w:rPr>
          <w:rFonts w:hint="eastAsia" w:ascii="宋体" w:hAnsi="宋体" w:cs="宋体"/>
          <w:sz w:val="24"/>
          <w:u w:val="single"/>
        </w:rPr>
        <w:t xml:space="preserve">盐城市“公共数据平台”数据安全和治理应用功能模块建设升级项目</w:t>
      </w:r>
      <w:r>
        <w:rPr>
          <w:rFonts w:hint="eastAsia" w:ascii="宋体" w:hAnsi="宋体" w:cs="宋体"/>
          <w:sz w:val="24"/>
        </w:rPr>
        <w:t xml:space="preserve">采购活动由本单位提供服务。</w:t>
      </w:r>
      <w:r/>
    </w:p>
    <w:p>
      <w:pPr>
        <w:ind w:firstLine="480"/>
        <w:jc w:val="left"/>
        <w:spacing w:line="520" w:lineRule="exact"/>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firstLine="482"/>
        <w:jc w:val="left"/>
        <w:spacing w:line="500" w:lineRule="exact"/>
        <w:rPr>
          <w:rFonts w:hint="eastAsia" w:ascii="宋体" w:hAnsi="宋体" w:cs="宋体"/>
          <w:sz w:val="24"/>
        </w:rPr>
      </w:pPr>
      <w:r>
        <w:rPr>
          <w:rFonts w:hint="eastAsia" w:ascii="宋体" w:hAnsi="宋体" w:cs="宋体"/>
          <w:sz w:val="24"/>
        </w:rPr>
      </w:r>
      <w:r/>
    </w:p>
    <w:p>
      <w:pPr>
        <w:ind w:firstLine="482"/>
        <w:spacing w:line="50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备注：1、</w:t>
      </w:r>
      <w:r>
        <w:rPr>
          <w:rFonts w:hint="eastAsia" w:ascii="宋体" w:hAnsi="宋体" w:eastAsia="宋体" w:cs="宋体"/>
          <w:sz w:val="24"/>
          <w:lang w:eastAsia="zh-CN"/>
        </w:rPr>
        <w:t xml:space="preserve">投标人</w:t>
      </w:r>
      <w:r>
        <w:rPr>
          <w:rFonts w:ascii="宋体" w:hAnsi="宋体" w:eastAsia="宋体" w:cs="宋体"/>
          <w:sz w:val="24"/>
        </w:rPr>
        <w:t xml:space="preserve">如不提供此声明函，价格将不做相应扣除（如项目全面面向中小企业，则资格审查不通过）。2、中标人为残疾人福利单位的，此声明函将随中标结果同时公告，接受社会监督</w:t>
      </w:r>
      <w:r/>
    </w:p>
    <w:p>
      <w:pPr>
        <w:ind w:firstLine="480"/>
        <w:jc w:val="left"/>
        <w:spacing w:line="520" w:lineRule="exact"/>
        <w:rPr>
          <w:rFonts w:hint="eastAsia" w:ascii="宋体" w:hAnsi="宋体" w:cs="宋体"/>
          <w:sz w:val="24"/>
        </w:rPr>
      </w:pPr>
      <w:r>
        <w:rPr>
          <w:rFonts w:hint="eastAsia" w:ascii="宋体" w:hAnsi="宋体" w:cs="宋体"/>
          <w:sz w:val="24"/>
        </w:rPr>
      </w:r>
      <w:r/>
    </w:p>
    <w:p>
      <w:pPr>
        <w:ind w:firstLine="480"/>
        <w:jc w:val="left"/>
        <w:spacing w:line="520" w:lineRule="exact"/>
        <w:rPr>
          <w:rFonts w:hint="eastAsia" w:ascii="宋体" w:hAnsi="宋体" w:cs="宋体"/>
          <w:sz w:val="24"/>
        </w:rPr>
      </w:pPr>
      <w:r>
        <w:rPr>
          <w:rFonts w:hint="eastAsia" w:ascii="宋体" w:hAnsi="宋体" w:cs="宋体"/>
          <w:sz w:val="24"/>
        </w:rPr>
        <w:t xml:space="preserve"> </w:t>
      </w:r>
      <w:r/>
    </w:p>
    <w:p>
      <w:pPr>
        <w:ind w:right="480" w:firstLine="480"/>
        <w:jc w:val="right"/>
        <w:spacing w:line="520" w:lineRule="exact"/>
        <w:rPr>
          <w:rFonts w:hint="eastAsia" w:ascii="宋体" w:hAnsi="宋体" w:cs="宋体"/>
          <w:sz w:val="24"/>
        </w:rPr>
      </w:pPr>
      <w:r>
        <w:rPr>
          <w:rFonts w:hint="eastAsia" w:ascii="宋体" w:hAnsi="宋体" w:cs="宋体"/>
          <w:sz w:val="24"/>
        </w:rPr>
        <w:t xml:space="preserve">企业名称（加盖CA电子公章）：        </w:t>
      </w:r>
      <w:r/>
    </w:p>
    <w:p>
      <w:pPr>
        <w:ind w:right="480" w:firstLine="480"/>
        <w:jc w:val="right"/>
        <w:spacing w:line="520" w:lineRule="exact"/>
        <w:rPr>
          <w:rFonts w:hint="eastAsia" w:ascii="宋体" w:hAnsi="宋体" w:cs="宋体"/>
          <w:sz w:val="24"/>
        </w:rPr>
      </w:pPr>
      <w:r>
        <w:rPr>
          <w:rFonts w:hint="eastAsia" w:ascii="宋体" w:hAnsi="宋体" w:cs="宋体"/>
          <w:sz w:val="24"/>
        </w:rPr>
        <w:t xml:space="preserve">日  期：        </w:t>
      </w:r>
      <w:r/>
    </w:p>
    <w:p>
      <w:pPr>
        <w:ind w:right="480" w:firstLine="480"/>
        <w:spacing w:line="520" w:lineRule="exact"/>
      </w:pPr>
      <w:r>
        <w:t xml:space="preserve"> </w:t>
      </w:r>
      <w:r/>
    </w:p>
    <w:p>
      <w:pPr>
        <w:rPr>
          <w:rFonts w:hint="eastAsia"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pStyle w:val="980"/>
        <w:jc w:val="center"/>
        <w:spacing w:beforeAutospacing="0" w:afterAutospacing="0" w:line="400" w:lineRule="exact"/>
        <w:rPr>
          <w:rFonts w:hint="eastAsia" w:ascii="黑体" w:hAnsi="黑体" w:eastAsia="黑体" w:cs="黑体"/>
          <w:bCs/>
          <w:i/>
          <w:sz w:val="32"/>
          <w:szCs w:val="32"/>
          <w:u w:val="single"/>
          <w14:ligatures w14:val="none"/>
        </w:rPr>
        <w:outlineLvl w:val="1"/>
      </w:pPr>
      <w:r>
        <w:rPr>
          <w:rFonts w:hint="eastAsia" w:ascii="黑体" w:hAnsi="黑体" w:eastAsia="黑体" w:cs="黑体"/>
          <w:i/>
          <w:sz w:val="32"/>
          <w:szCs w:val="32"/>
          <w:u w:val="single"/>
        </w:rPr>
        <w:t xml:space="preserve">十一、投标分项报价表</w:t>
      </w:r>
      <w:r>
        <w:rPr>
          <w:rFonts w:hint="eastAsia" w:ascii="黑体" w:hAnsi="黑体" w:eastAsia="黑体" w:cs="黑体"/>
          <w:i/>
          <w:iCs/>
          <w:sz w:val="32"/>
          <w:szCs w:val="32"/>
          <w:u w:val="none"/>
        </w:rPr>
        <w:t xml:space="preserve">（分包号：**）</w:t>
      </w:r>
      <w:r/>
    </w:p>
    <w:tbl>
      <w:tblPr>
        <w:tblStyle w:val="741"/>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hint="eastAsia" w:asciiTheme="minorEastAsia" w:hAnsiTheme="minorEastAsia" w:cstheme="minorEastAsia"/>
                <w:sz w:val="24"/>
              </w:rPr>
            </w:pPr>
            <w:r>
              <w:rPr>
                <w:rFonts w:hint="eastAsia" w:asciiTheme="minorEastAsia" w:hAnsi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交付期</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w:t>
            </w:r>
            <w:r/>
          </w:p>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w:t>
            </w:r>
            <w:r/>
          </w:p>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77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7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bl>
    <w:p>
      <w:pPr>
        <w:pStyle w:val="77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备注：1.投标报价采用总承包方式，“投标总报价”应包括</w:t>
      </w:r>
      <w:r>
        <w:rPr>
          <w:rFonts w:hint="eastAsia" w:asciiTheme="minorEastAsia" w:hAnsiTheme="minorEastAsia" w:eastAsiaTheme="minorEastAsia" w:cstheme="minorEastAsia"/>
          <w:sz w:val="24"/>
          <w:szCs w:val="24"/>
          <w:lang w:eastAsia="zh-CN"/>
        </w:rPr>
        <w:t xml:space="preserve">采购人</w:t>
      </w:r>
      <w:r>
        <w:rPr>
          <w:rFonts w:hint="eastAsia" w:asciiTheme="minorEastAsia" w:hAnsiTheme="minorEastAsia" w:eastAsiaTheme="minorEastAsia" w:cstheme="minorEastAsia"/>
          <w:sz w:val="24"/>
          <w:szCs w:val="24"/>
        </w:rPr>
        <w:t xml:space="preserve">需求的服务（包含与服务相关的货物）价格、质量保证费用、培训费用等，项目在指定地点、环境交付、安装、调试、验收所需费用和所有相关税金费用及为完成整个项目所产生的其他所有费用，招标文件另有规定的除外。2. “投标分项报价表”中“投标总报价”数额应当与“开标一览表”中“投标总报价”数额一致。</w:t>
      </w:r>
      <w:r/>
    </w:p>
    <w:p>
      <w:pPr>
        <w:pStyle w:val="770"/>
        <w:widowControl/>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widowControl/>
        <w:rPr>
          <w:rFonts w:hint="eastAsia" w:asciiTheme="minorEastAsia" w:hAnsiTheme="minorEastAsia"/>
          <w:sz w:val="28"/>
          <w:szCs w:val="28"/>
        </w:rPr>
      </w:pPr>
      <w:r>
        <w:rPr>
          <w:rFonts w:asciiTheme="minorEastAsia" w:hAnsiTheme="minorEastAsia"/>
          <w:sz w:val="28"/>
          <w:szCs w:val="28"/>
        </w:rPr>
        <w:br w:type="page" w:clear="all"/>
      </w:r>
      <w:r/>
    </w:p>
    <w:p>
      <w:pPr>
        <w:pStyle w:val="980"/>
        <w:jc w:val="center"/>
        <w:spacing w:beforeAutospacing="0" w:afterAutospacing="0" w:line="400" w:lineRule="exact"/>
        <w:rPr>
          <w:rFonts w:hint="eastAsia"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十二、技术要求响应及偏离表</w:t>
      </w:r>
      <w:r>
        <w:rPr>
          <w:rFonts w:hint="eastAsia" w:ascii="黑体" w:hAnsi="黑体" w:eastAsia="黑体" w:cs="黑体"/>
          <w:i/>
          <w:iCs/>
          <w:color w:val="auto"/>
          <w:sz w:val="32"/>
          <w:szCs w:val="32"/>
          <w:u w:val="none"/>
        </w:rPr>
        <w:t xml:space="preserve">（分包号：**）</w:t>
      </w:r>
      <w:r/>
    </w:p>
    <w:tbl>
      <w:tblPr>
        <w:tblStyle w:val="741"/>
        <w:tblpPr w:horzAnchor="page" w:tblpX="1738" w:vertAnchor="text" w:tblpY="390"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4"/>
      </w:tblGrid>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b/>
                <w:bCs/>
                <w:sz w:val="24"/>
              </w:rPr>
            </w:pPr>
            <w:r>
              <w:rPr>
                <w:rFonts w:hint="eastAsia" w:asciiTheme="minorEastAsia" w:hAnsiTheme="minorEastAsia" w:cstheme="minorEastAsia"/>
                <w:b/>
                <w:bCs/>
                <w:sz w:val="24"/>
              </w:rPr>
              <w:t xml:space="preserve">序号</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b/>
                <w:bCs/>
                <w:sz w:val="24"/>
              </w:rPr>
            </w:pPr>
            <w:r>
              <w:rPr>
                <w:rFonts w:hint="eastAsia" w:asciiTheme="minorEastAsia" w:hAnsiTheme="minorEastAsia" w:cstheme="minorEastAsia"/>
                <w:b/>
                <w:bCs/>
                <w:sz w:val="24"/>
              </w:rPr>
              <w:t xml:space="preserve">招标文件要求</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b/>
                <w:bCs/>
                <w:sz w:val="24"/>
              </w:rPr>
            </w:pPr>
            <w:r>
              <w:rPr>
                <w:rFonts w:hint="eastAsia" w:asciiTheme="minorEastAsia" w:hAnsiTheme="minorEastAsia" w:cstheme="minorEastAsia"/>
                <w:b/>
                <w:bCs/>
                <w:sz w:val="24"/>
              </w:rPr>
              <w:t xml:space="preserve">响应情况</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b/>
                <w:bCs/>
                <w:sz w:val="24"/>
              </w:rPr>
            </w:pPr>
            <w:r>
              <w:rPr>
                <w:rFonts w:hint="eastAsia" w:asciiTheme="minorEastAsia" w:hAnsiTheme="minorEastAsia" w:cstheme="minorEastAsia"/>
                <w:b/>
                <w:bCs/>
                <w:sz w:val="24"/>
              </w:rPr>
              <w:t xml:space="preserve">超出、符合或偏离</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b/>
                <w:bCs/>
                <w:sz w:val="24"/>
              </w:rPr>
            </w:pPr>
            <w:r>
              <w:rPr>
                <w:rFonts w:hint="eastAsia" w:asciiTheme="minorEastAsia" w:hAnsiTheme="minorEastAsia" w:cstheme="minorEastAsia"/>
                <w:b/>
                <w:bCs/>
                <w:sz w:val="24"/>
              </w:rPr>
              <w:t xml:space="preserve">证明材料</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20"/>
        </w:trPr>
        <w:tc>
          <w:tcPr>
            <w:tcW w:w="971"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bl>
    <w:p>
      <w:pPr>
        <w:pStyle w:val="770"/>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注：行数不够，可自行添加。</w:t>
      </w:r>
      <w:r/>
    </w:p>
    <w:p>
      <w:pPr>
        <w:pStyle w:val="770"/>
        <w:widowControl/>
        <w:rPr>
          <w:rFonts w:hint="eastAsia" w:asciiTheme="minorEastAsia" w:hAnsiTheme="minorEastAsia" w:eastAsiaTheme="minorEastAsia"/>
        </w:rPr>
      </w:pPr>
      <w:r>
        <w:rPr>
          <w:rFonts w:asciiTheme="minorEastAsia" w:hAnsiTheme="minorEastAsia" w:eastAsiaTheme="minorEastAsia"/>
        </w:rPr>
        <w:t xml:space="preserve"> </w:t>
      </w:r>
      <w:bookmarkStart w:id="160" w:name="_Hlt26955054"/>
      <w:r/>
      <w:r/>
    </w:p>
    <w:p>
      <w:pPr>
        <w:jc w:val="left"/>
        <w:widowControl/>
        <w:rPr>
          <w:rFonts w:hint="eastAsia" w:cs="Times New Roman" w:asciiTheme="minorEastAsia" w:hAnsiTheme="minorEastAsia"/>
          <w:sz w:val="32"/>
          <w:szCs w:val="32"/>
        </w:rPr>
      </w:pPr>
      <w:r>
        <w:rPr>
          <w:rFonts w:asciiTheme="minorEastAsia" w:hAnsiTheme="minorEastAsia"/>
        </w:rPr>
        <w:br w:type="page" w:clear="all"/>
      </w:r>
      <w:r/>
    </w:p>
    <w:p>
      <w:pPr>
        <w:pStyle w:val="980"/>
        <w:jc w:val="center"/>
        <w:spacing w:beforeAutospacing="0" w:afterAutospacing="0" w:line="400" w:lineRule="exact"/>
        <w:rPr>
          <w:rFonts w:hint="eastAsia" w:ascii="黑体" w:hAnsi="黑体" w:eastAsia="黑体" w:cs="黑体"/>
          <w:bCs/>
          <w:i/>
          <w:color w:val="auto"/>
          <w:sz w:val="32"/>
          <w:szCs w:val="32"/>
          <w:u w:val="none"/>
          <w14:ligatures w14:val="none"/>
        </w:rPr>
        <w:outlineLvl w:val="1"/>
      </w:pPr>
      <w:r>
        <w:rPr>
          <w:rFonts w:hint="eastAsia" w:ascii="黑体" w:hAnsi="黑体" w:eastAsia="黑体" w:cs="黑体"/>
          <w:i/>
          <w:color w:val="auto"/>
          <w:sz w:val="32"/>
          <w:szCs w:val="32"/>
          <w:u w:val="single"/>
        </w:rPr>
        <w:t xml:space="preserve">十三、商务要求响应及偏离表</w:t>
      </w:r>
      <w:r>
        <w:rPr>
          <w:rFonts w:hint="eastAsia" w:ascii="黑体" w:hAnsi="黑体" w:eastAsia="黑体" w:cs="黑体"/>
          <w:i/>
          <w:iCs/>
          <w:color w:val="auto"/>
          <w:sz w:val="32"/>
          <w:szCs w:val="32"/>
          <w:u w:val="none"/>
        </w:rPr>
        <w:t xml:space="preserve">（分包号：**）</w:t>
      </w:r>
      <w:r/>
    </w:p>
    <w:tbl>
      <w:tblPr>
        <w:tblStyle w:val="741"/>
        <w:tblpPr w:horzAnchor="page" w:tblpX="1738" w:vertAnchor="text" w:tblpY="390"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4"/>
      </w:tblGrid>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b/>
                <w:bCs/>
                <w:sz w:val="24"/>
              </w:rPr>
            </w:pPr>
            <w:r>
              <w:rPr>
                <w:rFonts w:hint="eastAsia" w:asciiTheme="minorEastAsia" w:hAnsiTheme="minorEastAsia" w:cstheme="minorEastAsia"/>
                <w:b/>
                <w:bCs/>
                <w:sz w:val="24"/>
              </w:rPr>
              <w:t xml:space="preserve">序号</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b/>
                <w:bCs/>
                <w:sz w:val="24"/>
              </w:rPr>
            </w:pPr>
            <w:r>
              <w:rPr>
                <w:rFonts w:hint="eastAsia" w:asciiTheme="minorEastAsia" w:hAnsiTheme="minorEastAsia" w:cstheme="minorEastAsia"/>
                <w:b/>
                <w:bCs/>
                <w:sz w:val="24"/>
              </w:rPr>
              <w:t xml:space="preserve">招标文件要求</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b/>
                <w:bCs/>
                <w:sz w:val="24"/>
              </w:rPr>
            </w:pPr>
            <w:r>
              <w:rPr>
                <w:rFonts w:hint="eastAsia" w:asciiTheme="minorEastAsia" w:hAnsiTheme="minorEastAsia" w:cstheme="minorEastAsia"/>
                <w:b/>
                <w:bCs/>
                <w:sz w:val="24"/>
              </w:rPr>
              <w:t xml:space="preserve">响应情况</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b/>
                <w:bCs/>
                <w:sz w:val="24"/>
              </w:rPr>
            </w:pPr>
            <w:r>
              <w:rPr>
                <w:rFonts w:hint="eastAsia" w:asciiTheme="minorEastAsia" w:hAnsiTheme="minorEastAsia" w:cstheme="minorEastAsia"/>
                <w:b/>
                <w:bCs/>
                <w:sz w:val="24"/>
              </w:rPr>
              <w:t xml:space="preserve">超出、符合或偏离</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b/>
                <w:bCs/>
                <w:sz w:val="24"/>
              </w:rPr>
            </w:pPr>
            <w:r>
              <w:rPr>
                <w:rFonts w:hint="eastAsia" w:asciiTheme="minorEastAsia" w:hAnsiTheme="minorEastAsia" w:cstheme="minorEastAsia"/>
                <w:b/>
                <w:bCs/>
                <w:sz w:val="24"/>
              </w:rPr>
              <w:t xml:space="preserve">证明材料</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20"/>
        </w:trPr>
        <w:tc>
          <w:tcPr>
            <w:tcW w:w="971"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w:t>
            </w:r>
            <w:r/>
          </w:p>
        </w:tc>
        <w:tc>
          <w:tcPr>
            <w:tcW w:w="2006"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val="false"/>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bl>
    <w:p>
      <w:pPr>
        <w:pStyle w:val="770"/>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注：行数不够，可自行添加。</w:t>
      </w:r>
      <w:r/>
    </w:p>
    <w:p>
      <w:pPr>
        <w:pStyle w:val="770"/>
        <w:jc w:val="center"/>
        <w:widowControl/>
        <w:rPr>
          <w:rFonts w:hint="eastAsia" w:ascii="方正小标宋_GBK" w:hAnsi="宋体" w:eastAsia="方正小标宋_GBK" w:cs="黑体"/>
          <w:iCs/>
          <w:sz w:val="30"/>
          <w:szCs w:val="30"/>
        </w:rPr>
      </w:pPr>
      <w:r>
        <w:rPr>
          <w:rFonts w:hint="eastAsia" w:ascii="方正小标宋_GBK" w:hAnsi="宋体" w:eastAsia="方正小标宋_GBK" w:cs="黑体"/>
          <w:iCs/>
          <w:sz w:val="30"/>
          <w:szCs w:val="30"/>
        </w:rPr>
      </w:r>
      <w:r/>
    </w:p>
    <w:p>
      <w:pPr>
        <w:jc w:val="left"/>
        <w:widowControl/>
        <w:rPr>
          <w:rFonts w:hint="eastAsia" w:cs="Times New Roman" w:asciiTheme="minorEastAsia" w:hAnsiTheme="minorEastAsia"/>
          <w:sz w:val="32"/>
          <w:szCs w:val="32"/>
        </w:rPr>
      </w:pPr>
      <w:r>
        <w:rPr>
          <w:rFonts w:asciiTheme="minorEastAsia" w:hAnsiTheme="minorEastAsia"/>
        </w:rPr>
        <w:br w:type="page" w:clear="all"/>
      </w:r>
      <w:r/>
    </w:p>
    <w:p>
      <w:pPr>
        <w:pStyle w:val="980"/>
        <w:jc w:val="center"/>
        <w:spacing w:beforeAutospacing="0" w:afterAutospacing="0" w:line="400" w:lineRule="exact"/>
        <w:rPr>
          <w:rFonts w:hint="eastAsia"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十四、开标一览表</w:t>
      </w:r>
      <w:r>
        <w:rPr>
          <w:rFonts w:hint="eastAsia" w:ascii="黑体" w:hAnsi="黑体" w:eastAsia="黑体" w:cs="黑体"/>
          <w:i/>
          <w:iCs/>
          <w:color w:val="auto"/>
          <w:sz w:val="32"/>
          <w:szCs w:val="32"/>
          <w:u w:val="none"/>
        </w:rPr>
        <w:t xml:space="preserve">（分包号：**）</w:t>
      </w:r>
      <w:r>
        <w:rPr>
          <w:rFonts w:hint="eastAsia" w:ascii="黑体" w:hAnsi="黑体" w:eastAsia="黑体" w:cs="黑体"/>
          <w:i/>
          <w:color w:val="auto"/>
          <w:sz w:val="32"/>
          <w:szCs w:val="32"/>
          <w:u w:val="single"/>
        </w:rPr>
      </w:r>
      <w:r/>
    </w:p>
    <w:p>
      <w:pPr>
        <w:pStyle w:val="980"/>
        <w:ind w:firstLine="0"/>
        <w:jc w:val="both"/>
        <w:spacing w:before="0" w:beforeAutospacing="0" w:after="0" w:afterAutospacing="0" w:line="460" w:lineRule="exact"/>
        <w:rPr>
          <w:rFonts w:hint="eastAsia"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 xml:space="preserve">项目编号：</w:t>
      </w:r>
      <w:r>
        <w:rPr>
          <w:rFonts w:ascii="Arial" w:hAnsi="Arial" w:eastAsia="Arial" w:cs="Arial"/>
          <w:color w:val="000000"/>
          <w:sz w:val="21"/>
          <w:highlight w:val="white"/>
        </w:rPr>
        <w:t xml:space="preserve">JSZC-320900-JZCG-G2025-0068</w:t>
      </w:r>
      <w:r/>
    </w:p>
    <w:p>
      <w:pP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货币单位：人民币元</w:t>
      </w:r>
      <w:r/>
    </w:p>
    <w:tbl>
      <w:tblPr>
        <w:tblStyle w:val="7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43"/>
        <w:gridCol w:w="2987"/>
        <w:gridCol w:w="2540"/>
      </w:tblGrid>
      <w:tr>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3143" w:type="dxa"/>
            <w:vAlign w:val="center"/>
            <w:textDirection w:val="lrTb"/>
            <w:noWrap w:val="false"/>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项目名称</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987" w:type="dxa"/>
            <w:vAlign w:val="center"/>
            <w:textDirection w:val="lrTb"/>
            <w:noWrap w:val="false"/>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项目内容</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540" w:type="dxa"/>
            <w:vAlign w:val="center"/>
            <w:textDirection w:val="lrTb"/>
            <w:noWrap w:val="false"/>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总价（小写）</w:t>
            </w:r>
            <w:r/>
          </w:p>
        </w:tc>
      </w:tr>
      <w:tr>
        <w:trPr>
          <w:trHeight w:val="1031"/>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143" w:type="dxa"/>
            <w:vAlign w:val="center"/>
            <w:textDirection w:val="lrTb"/>
            <w:noWrap w:val="false"/>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盐城市“公共数据平台”数据安全和治理应用功能模块建设升级  项目</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987" w:type="dxa"/>
            <w:vAlign w:val="center"/>
            <w:textDirection w:val="lrTb"/>
            <w:noWrap w:val="false"/>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详见投标文件</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540" w:type="dxa"/>
            <w:vAlign w:val="center"/>
            <w:textDirection w:val="lrTb"/>
            <w:noWrap w:val="false"/>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       元</w:t>
            </w:r>
            <w:r/>
          </w:p>
        </w:tc>
      </w:tr>
      <w:tr>
        <w:trPr>
          <w:trHeight w:val="1026"/>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143" w:type="dxa"/>
            <w:vAlign w:val="center"/>
            <w:textDirection w:val="lrTb"/>
            <w:noWrap w:val="false"/>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总价（大写）：</w:t>
            </w:r>
            <w:r/>
          </w:p>
        </w:tc>
        <w:tc>
          <w:tcPr>
            <w:gridSpan w:val="2"/>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5527" w:type="dxa"/>
            <w:vAlign w:val="center"/>
            <w:textDirection w:val="lrTb"/>
            <w:noWrap w:val="false"/>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金额大写</w:t>
            </w:r>
            <w:r/>
          </w:p>
        </w:tc>
      </w:tr>
    </w:tbl>
    <w:p>
      <w:pP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 </w:t>
      </w:r>
      <w:r/>
    </w:p>
    <w:p>
      <w:pPr>
        <w:jc w:val="right"/>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投标人公章：（电子签章）</w:t>
      </w:r>
      <w:r/>
    </w:p>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                                                    日期： 年 月 日</w:t>
      </w:r>
      <w:r/>
    </w:p>
    <w:p>
      <w:pPr>
        <w:pStyle w:val="980"/>
        <w:ind w:right="279" w:firstLine="480"/>
        <w:jc w:val="right"/>
        <w:spacing w:beforeAutospacing="0" w:afterAutospacing="0"/>
        <w:rPr>
          <w:rFonts w:hint="eastAsia"/>
          <w:color w:val="auto"/>
        </w:rPr>
      </w:pPr>
      <w:r>
        <w:rPr>
          <w:rFonts w:hint="eastAsia"/>
          <w:color w:val="auto"/>
        </w:rPr>
        <w:t xml:space="preserve">                                </w:t>
      </w:r>
      <w:r/>
    </w:p>
    <w:p>
      <w:pPr>
        <w:jc w:val="left"/>
        <w:widowControl/>
        <w:rPr>
          <w:rFonts w:hint="eastAsia" w:ascii="宋体" w:hAnsi="宋体" w:eastAsia="宋体" w:cs="宋体"/>
          <w:sz w:val="24"/>
          <w:szCs w:val="21"/>
        </w:rPr>
      </w:pPr>
      <w:r>
        <w:br w:type="page" w:clear="all"/>
      </w:r>
      <w:r/>
    </w:p>
    <w:p>
      <w:pPr>
        <w:pStyle w:val="980"/>
        <w:jc w:val="center"/>
        <w:spacing w:beforeAutospacing="0" w:afterAutospacing="0" w:line="400" w:lineRule="exact"/>
        <w:rPr>
          <w:rFonts w:hint="eastAsia"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十五、技术方案等</w:t>
      </w:r>
      <w:r/>
    </w:p>
    <w:p>
      <w:pPr>
        <w:jc w:val="center"/>
        <w:spacing w:line="499" w:lineRule="atLeast"/>
        <w:widowControl/>
        <w:rPr>
          <w:rFonts w:hint="eastAsia" w:cs="Times New Roman" w:asciiTheme="minorEastAsia" w:hAnsiTheme="minorEastAsia"/>
          <w:sz w:val="32"/>
          <w:szCs w:val="32"/>
        </w:rPr>
      </w:pPr>
      <w:r>
        <w:rPr>
          <w:rFonts w:hint="eastAsia" w:cs="Times New Roman" w:asciiTheme="minorEastAsia" w:hAnsiTheme="minorEastAsia"/>
          <w:sz w:val="32"/>
          <w:szCs w:val="32"/>
        </w:rPr>
      </w:r>
      <w:r/>
    </w:p>
    <w:p>
      <w:pPr>
        <w:jc w:val="center"/>
        <w:spacing w:line="499" w:lineRule="atLeast"/>
        <w:widowControl/>
        <w:rPr>
          <w:rFonts w:hint="eastAsia" w:cs="Times New Roman" w:asciiTheme="minorEastAsia" w:hAnsiTheme="minorEastAsia"/>
          <w:sz w:val="32"/>
          <w:szCs w:val="32"/>
        </w:rPr>
      </w:pPr>
      <w:r>
        <w:rPr>
          <w:rFonts w:hint="eastAsia" w:cs="Times New Roman" w:asciiTheme="minorEastAsia" w:hAnsiTheme="minorEastAsia"/>
          <w:sz w:val="32"/>
          <w:szCs w:val="32"/>
        </w:rPr>
      </w:r>
      <w:r/>
    </w:p>
    <w:p>
      <w:pPr>
        <w:jc w:val="center"/>
        <w:spacing w:line="499" w:lineRule="atLeast"/>
        <w:widowControl/>
        <w:rPr>
          <w:rFonts w:hint="eastAsia" w:cs="Times New Roman" w:asciiTheme="minorEastAsia" w:hAnsiTheme="minorEastAsia"/>
          <w:sz w:val="32"/>
          <w:szCs w:val="32"/>
        </w:rPr>
      </w:pPr>
      <w:r>
        <w:rPr>
          <w:rFonts w:hint="eastAsia" w:cs="Times New Roman" w:asciiTheme="minorEastAsia" w:hAnsiTheme="minorEastAsia"/>
          <w:sz w:val="32"/>
          <w:szCs w:val="32"/>
        </w:rPr>
      </w:r>
      <w:r/>
    </w:p>
    <w:p>
      <w:pPr>
        <w:widowControl/>
        <w:rPr>
          <w:rFonts w:hint="eastAsia" w:cs="Times New Roman" w:asciiTheme="minorEastAsia" w:hAnsiTheme="minorEastAsia"/>
          <w:sz w:val="32"/>
          <w:szCs w:val="32"/>
        </w:rPr>
      </w:pPr>
      <w:r>
        <w:rPr>
          <w:rFonts w:cs="Times New Roman" w:asciiTheme="minorEastAsia" w:hAnsiTheme="minorEastAsia"/>
          <w:sz w:val="32"/>
          <w:szCs w:val="32"/>
        </w:rPr>
        <w:br w:type="page" w:clear="all"/>
      </w:r>
      <w:r/>
    </w:p>
    <w:p>
      <w:pPr>
        <w:pStyle w:val="980"/>
        <w:jc w:val="center"/>
        <w:spacing w:beforeAutospacing="0" w:afterAutospacing="0" w:line="400" w:lineRule="exact"/>
        <w:rPr>
          <w:rFonts w:hint="eastAsia" w:ascii="黑体" w:hAnsi="黑体" w:eastAsia="黑体" w:cs="黑体"/>
          <w:i/>
          <w:color w:val="auto"/>
          <w:sz w:val="32"/>
          <w:szCs w:val="32"/>
          <w:u w:val="single"/>
        </w:rPr>
        <w:outlineLvl w:val="1"/>
      </w:pPr>
      <w:r>
        <w:rPr>
          <w:rFonts w:hint="eastAsia" w:ascii="黑体" w:hAnsi="黑体" w:eastAsia="黑体" w:cs="黑体"/>
          <w:i/>
          <w:color w:val="auto"/>
          <w:sz w:val="32"/>
          <w:szCs w:val="32"/>
          <w:u w:val="single"/>
        </w:rPr>
        <w:t xml:space="preserve">十六、盐城市政府采购事前信用承诺书</w:t>
      </w:r>
      <w:bookmarkEnd w:id="9"/>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106"/>
      <w:r/>
      <w:bookmarkEnd w:id="107"/>
      <w:r/>
      <w:bookmarkEnd w:id="129"/>
      <w:r/>
      <w:bookmarkEnd w:id="149"/>
      <w:r/>
      <w:bookmarkEnd w:id="150"/>
      <w:r/>
      <w:bookmarkEnd w:id="151"/>
      <w:r/>
      <w:bookmarkEnd w:id="156"/>
      <w:r/>
      <w:bookmarkEnd w:id="157"/>
      <w:r/>
      <w:bookmarkEnd w:id="158"/>
      <w:r/>
      <w:bookmarkEnd w:id="159"/>
      <w:r/>
      <w:bookmarkEnd w:id="160"/>
      <w:r/>
      <w:r/>
    </w:p>
    <w:p>
      <w:pPr>
        <w:ind w:firstLine="440"/>
        <w:spacing w:line="520" w:lineRule="exact"/>
        <w:widowControl/>
        <w:rPr>
          <w:sz w:val="24"/>
        </w:rPr>
      </w:pPr>
      <w:r>
        <w:rPr>
          <w:rFonts w:hint="eastAsia"/>
          <w:sz w:val="24"/>
        </w:rPr>
        <w:t xml:space="preserve">为营造我市公开、公平、公正、诚实守信的政府采购交易环境，树立诚信守法的投标人形象，本人代表本单位作出以下承诺：</w:t>
      </w:r>
      <w:r/>
    </w:p>
    <w:p>
      <w:pPr>
        <w:ind w:firstLine="440"/>
        <w:spacing w:line="520" w:lineRule="exact"/>
        <w:widowControl/>
        <w:rPr>
          <w:sz w:val="24"/>
        </w:rPr>
      </w:pPr>
      <w:r>
        <w:rPr>
          <w:rFonts w:hint="eastAsia"/>
          <w:sz w:val="24"/>
        </w:rPr>
        <w:t xml:space="preserve">（一）本单位对所提交的企（事）业单位基本信息、企（事）业负责人、项目经理、技术负责人、从业资质和资格、业绩、财务状况、信誉等所有资料，均合法、真实、准确、有效，无任何伪造、修改、虚假成分，并对所提供资料的真实性负责；</w:t>
      </w:r>
      <w:r/>
    </w:p>
    <w:p>
      <w:pPr>
        <w:ind w:firstLine="440"/>
        <w:spacing w:line="520" w:lineRule="exact"/>
        <w:widowControl/>
        <w:rPr>
          <w:sz w:val="24"/>
        </w:rPr>
      </w:pPr>
      <w:r>
        <w:rPr>
          <w:rFonts w:hint="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widowControl/>
        <w:rPr>
          <w:sz w:val="24"/>
        </w:rPr>
      </w:pPr>
      <w:r>
        <w:rPr>
          <w:rFonts w:hint="eastAsia"/>
          <w:sz w:val="24"/>
        </w:rPr>
        <w:t xml:space="preserve">（三）严格依照国家和省、市关于政府采购的法律、法规、规章、规范性文件，参加政府采购投标活动；积极履行社会责任，促进廉政建设； </w:t>
      </w:r>
      <w:r/>
    </w:p>
    <w:p>
      <w:pPr>
        <w:ind w:firstLine="440"/>
        <w:spacing w:line="520" w:lineRule="exact"/>
        <w:widowControl/>
        <w:rPr>
          <w:sz w:val="24"/>
        </w:rPr>
      </w:pPr>
      <w:r>
        <w:rPr>
          <w:rFonts w:hint="eastAsia"/>
          <w:sz w:val="24"/>
        </w:rPr>
        <w:t xml:space="preserve">（四）严格遵守即时信息公示规定，及时维护和更新盐城市政府采购网中与本单位相关的信息；</w:t>
      </w:r>
      <w:r/>
    </w:p>
    <w:p>
      <w:pPr>
        <w:ind w:firstLine="440"/>
        <w:spacing w:line="520" w:lineRule="exact"/>
        <w:widowControl/>
        <w:rPr>
          <w:sz w:val="24"/>
        </w:rPr>
      </w:pPr>
      <w:r>
        <w:rPr>
          <w:rFonts w:hint="eastAsia"/>
          <w:sz w:val="24"/>
        </w:rPr>
        <w:t xml:space="preserve">（五）自我约束、自我管理，守合同、重信用，自觉维护政府采购交易的良好秩序，与参与本次政府采购活动的其他</w:t>
      </w:r>
      <w:r>
        <w:rPr>
          <w:rFonts w:hint="eastAsia"/>
          <w:sz w:val="24"/>
          <w:lang w:eastAsia="zh-CN"/>
        </w:rPr>
        <w:t xml:space="preserve">投标人</w:t>
      </w:r>
      <w:r>
        <w:rPr>
          <w:rFonts w:hint="eastAsia"/>
          <w:sz w:val="24"/>
        </w:rPr>
        <w:t xml:space="preserve">不存在直接控股或管理关系，不参与围标串标、弄虚作假、骗取中标、干扰评标、违约毁约等行为；</w:t>
      </w:r>
      <w:r/>
    </w:p>
    <w:p>
      <w:pPr>
        <w:ind w:firstLine="440"/>
        <w:spacing w:line="520" w:lineRule="exact"/>
        <w:widowControl/>
        <w:rPr>
          <w:sz w:val="24"/>
        </w:rPr>
      </w:pPr>
      <w:r>
        <w:rPr>
          <w:rFonts w:hint="eastAsia"/>
          <w:sz w:val="24"/>
        </w:rPr>
        <w:t xml:space="preserve">（六）自觉接受政府、行业组织、社会公众、新闻舆论的监督；</w:t>
      </w:r>
      <w:r/>
    </w:p>
    <w:p>
      <w:pPr>
        <w:ind w:firstLine="440"/>
        <w:spacing w:line="520" w:lineRule="exact"/>
        <w:widowControl/>
        <w:rPr>
          <w:sz w:val="24"/>
        </w:rPr>
      </w:pPr>
      <w:r>
        <w:rPr>
          <w:rFonts w:hint="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sz w:val="24"/>
        </w:rPr>
      </w:pPr>
      <w:r>
        <w:rPr>
          <w:rFonts w:hint="eastAsia"/>
          <w:sz w:val="24"/>
        </w:rPr>
        <w:t xml:space="preserve">（八）本人已认真阅读了上述承诺，并向本单位员工做了宣传教育。</w:t>
      </w:r>
      <w:r/>
    </w:p>
    <w:p>
      <w:pPr>
        <w:ind w:firstLine="440"/>
        <w:spacing w:line="520" w:lineRule="exact"/>
        <w:widowControl/>
        <w:rPr>
          <w:sz w:val="24"/>
        </w:rPr>
      </w:pPr>
      <w:r>
        <w:rPr>
          <w:rFonts w:hint="eastAsia"/>
          <w:sz w:val="24"/>
        </w:rPr>
        <w:t xml:space="preserve">                </w:t>
      </w:r>
      <w:r/>
    </w:p>
    <w:p>
      <w:pPr>
        <w:ind w:firstLine="440"/>
        <w:jc w:val="right"/>
        <w:spacing w:line="520" w:lineRule="exact"/>
        <w:widowControl/>
        <w:rPr>
          <w:sz w:val="24"/>
        </w:rPr>
      </w:pPr>
      <w:r>
        <w:rPr>
          <w:rFonts w:hint="eastAsia"/>
          <w:sz w:val="24"/>
        </w:rPr>
        <w:t xml:space="preserve"> 法定代表人（签名）：          </w:t>
      </w:r>
      <w:r/>
    </w:p>
    <w:p>
      <w:pPr>
        <w:ind w:firstLine="440"/>
        <w:jc w:val="right"/>
        <w:spacing w:line="520" w:lineRule="exact"/>
        <w:widowControl/>
        <w:rPr>
          <w:sz w:val="24"/>
        </w:rPr>
      </w:pPr>
      <w:r>
        <w:rPr>
          <w:rFonts w:hint="eastAsia"/>
          <w:sz w:val="24"/>
        </w:rPr>
        <w:t xml:space="preserve">单位名称（盖章）：          </w:t>
      </w:r>
      <w:r/>
    </w:p>
    <w:p>
      <w:pPr>
        <w:ind w:firstLine="440"/>
        <w:spacing w:line="520" w:lineRule="exact"/>
        <w:widowControl/>
        <w:rPr>
          <w:rFonts w:hint="eastAsia" w:cs="Times New Roman" w:asciiTheme="minorEastAsia" w:hAnsiTheme="minorEastAsia"/>
          <w:sz w:val="32"/>
          <w:szCs w:val="32"/>
        </w:rPr>
      </w:pPr>
      <w:r>
        <w:rPr>
          <w:rFonts w:hint="eastAsia"/>
          <w:sz w:val="24"/>
        </w:rPr>
        <w:t xml:space="preserve">                                                       年   月   日</w:t>
      </w:r>
      <w:r>
        <w:rPr>
          <w:rFonts w:asciiTheme="minorEastAsia" w:hAnsiTheme="minorEastAsia"/>
        </w:rPr>
        <w:br w:type="page" w:clear="all"/>
      </w:r>
      <w:r/>
    </w:p>
    <w:p>
      <w:pPr>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770"/>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一、质疑</w:t>
      </w:r>
      <w:r>
        <w:rPr>
          <w:rFonts w:hint="eastAsia" w:asciiTheme="minorEastAsia" w:hAnsiTheme="minorEastAsia" w:eastAsiaTheme="minorEastAsia" w:cstheme="minorEastAsia"/>
          <w:bCs/>
          <w:sz w:val="24"/>
          <w:szCs w:val="24"/>
          <w:lang w:eastAsia="zh-CN"/>
        </w:rPr>
        <w:t xml:space="preserve">投标人</w:t>
      </w:r>
      <w:r>
        <w:rPr>
          <w:rFonts w:hint="eastAsia" w:asciiTheme="minorEastAsia" w:hAnsiTheme="minorEastAsia" w:eastAsiaTheme="minorEastAsia" w:cstheme="minorEastAsia"/>
          <w:bCs/>
          <w:sz w:val="24"/>
          <w:szCs w:val="24"/>
        </w:rPr>
        <w:t xml:space="preserve">基本信息</w:t>
      </w:r>
      <w:r/>
    </w:p>
    <w:p>
      <w:pPr>
        <w:pStyle w:val="770"/>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w:t>
      </w:r>
      <w:r>
        <w:rPr>
          <w:rFonts w:hint="eastAsia" w:asciiTheme="minorEastAsia" w:hAnsiTheme="minorEastAsia" w:eastAsiaTheme="minorEastAsia" w:cstheme="minorEastAsia"/>
          <w:bCs/>
          <w:sz w:val="24"/>
          <w:szCs w:val="24"/>
          <w:lang w:eastAsia="zh-CN"/>
        </w:rPr>
        <w:t xml:space="preserve">投标人</w:t>
      </w:r>
      <w:r>
        <w:rPr>
          <w:rFonts w:hint="eastAsia" w:asciiTheme="minorEastAsia" w:hAnsiTheme="minorEastAsia" w:eastAsiaTheme="minorEastAsia" w:cstheme="minorEastAsia"/>
          <w:bCs/>
          <w:sz w:val="24"/>
          <w:szCs w:val="24"/>
        </w:rPr>
        <w:t xml:space="preserve">：</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p>
    <w:p>
      <w:pPr>
        <w:pStyle w:val="770"/>
        <w:ind w:firstLine="482"/>
        <w:jc w:val="both"/>
        <w:spacing w:line="420" w:lineRule="exact"/>
        <w:widowControl/>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Cs/>
          <w:sz w:val="24"/>
          <w:szCs w:val="24"/>
        </w:rPr>
        <w:t xml:space="preserve">地址：</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p>
    <w:p>
      <w:pPr>
        <w:pStyle w:val="770"/>
        <w:ind w:firstLine="482"/>
        <w:jc w:val="both"/>
        <w:spacing w:line="42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邮编：</w:t>
      </w:r>
      <w:r>
        <w:rPr>
          <w:rFonts w:hint="eastAsia" w:asciiTheme="minorEastAsia" w:hAnsiTheme="minorEastAsia" w:eastAsiaTheme="minorEastAsia" w:cstheme="minorEastAsia"/>
          <w:sz w:val="24"/>
          <w:szCs w:val="24"/>
          <w:u w:val="single"/>
        </w:rPr>
        <w:t xml:space="preserve">                         </w:t>
      </w:r>
      <w:r/>
    </w:p>
    <w:p>
      <w:pPr>
        <w:pStyle w:val="770"/>
        <w:ind w:firstLine="482"/>
        <w:jc w:val="both"/>
        <w:spacing w:line="420" w:lineRule="exact"/>
        <w:widowControl/>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Cs/>
          <w:sz w:val="24"/>
          <w:szCs w:val="24"/>
        </w:rPr>
        <w:t xml:space="preserve">联系人：</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p>
    <w:p>
      <w:pPr>
        <w:pStyle w:val="770"/>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联系电话：</w:t>
      </w:r>
      <w:r>
        <w:rPr>
          <w:rFonts w:hint="eastAsia" w:asciiTheme="minorEastAsia" w:hAnsiTheme="minorEastAsia" w:eastAsiaTheme="minorEastAsia" w:cstheme="minorEastAsia"/>
          <w:bCs/>
          <w:sz w:val="24"/>
          <w:szCs w:val="24"/>
          <w:u w:val="single"/>
        </w:rPr>
        <w:t xml:space="preserve">                            </w:t>
      </w:r>
      <w:r/>
    </w:p>
    <w:p>
      <w:pPr>
        <w:pStyle w:val="770"/>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授权代表：</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p>
    <w:p>
      <w:pPr>
        <w:pStyle w:val="770"/>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联系电话：</w:t>
      </w:r>
      <w:r>
        <w:rPr>
          <w:rFonts w:hint="eastAsia" w:asciiTheme="minorEastAsia" w:hAnsiTheme="minorEastAsia" w:eastAsiaTheme="minorEastAsia" w:cstheme="minorEastAsia"/>
          <w:bCs/>
          <w:sz w:val="24"/>
          <w:szCs w:val="24"/>
          <w:u w:val="single"/>
        </w:rPr>
        <w:t xml:space="preserve">                     </w:t>
      </w:r>
      <w:r/>
    </w:p>
    <w:p>
      <w:pPr>
        <w:pStyle w:val="770"/>
        <w:ind w:firstLine="482"/>
        <w:jc w:val="both"/>
        <w:spacing w:line="420" w:lineRule="exact"/>
        <w:widowControl/>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Cs/>
          <w:sz w:val="24"/>
          <w:szCs w:val="24"/>
        </w:rPr>
        <w:t xml:space="preserve">地址：</w:t>
      </w:r>
      <w:r>
        <w:rPr>
          <w:rFonts w:hint="eastAsia" w:asciiTheme="minorEastAsia" w:hAnsiTheme="minorEastAsia" w:eastAsiaTheme="minorEastAsia" w:cstheme="minorEastAsia"/>
          <w:bCs/>
          <w:sz w:val="24"/>
          <w:szCs w:val="24"/>
          <w:u w:val="single"/>
        </w:rPr>
        <w:t xml:space="preserve">                         </w:t>
      </w:r>
      <w:r/>
    </w:p>
    <w:p>
      <w:pPr>
        <w:pStyle w:val="770"/>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邮编：</w:t>
      </w:r>
      <w:r>
        <w:rPr>
          <w:rFonts w:hint="eastAsia" w:asciiTheme="minorEastAsia" w:hAnsiTheme="minorEastAsia" w:eastAsiaTheme="minorEastAsia" w:cstheme="minorEastAsia"/>
          <w:bCs/>
          <w:sz w:val="24"/>
          <w:szCs w:val="24"/>
          <w:u w:val="single"/>
        </w:rPr>
        <w:t xml:space="preserve">                         </w:t>
      </w:r>
      <w:r/>
    </w:p>
    <w:p>
      <w:pPr>
        <w:pStyle w:val="770"/>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二、质疑项目基本情况</w:t>
      </w:r>
      <w:r/>
    </w:p>
    <w:p>
      <w:pPr>
        <w:pStyle w:val="770"/>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质疑项目的名称：</w:t>
      </w:r>
      <w:r>
        <w:rPr>
          <w:rFonts w:hint="eastAsia" w:asciiTheme="minorEastAsia" w:hAnsiTheme="minorEastAsia" w:eastAsiaTheme="minorEastAsia" w:cstheme="minorEastAsia"/>
          <w:bCs/>
          <w:sz w:val="24"/>
          <w:szCs w:val="24"/>
          <w:u w:val="single"/>
        </w:rPr>
        <w:t xml:space="preserve">               </w:t>
      </w:r>
      <w:r/>
    </w:p>
    <w:p>
      <w:pPr>
        <w:pStyle w:val="770"/>
        <w:ind w:firstLine="482"/>
        <w:jc w:val="both"/>
        <w:spacing w:line="420" w:lineRule="exact"/>
        <w:widowControl/>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Cs/>
          <w:sz w:val="24"/>
          <w:szCs w:val="24"/>
        </w:rPr>
        <w:t xml:space="preserve">质疑项目的编号：</w:t>
      </w:r>
      <w:r>
        <w:rPr>
          <w:rFonts w:hint="eastAsia" w:asciiTheme="minorEastAsia" w:hAnsiTheme="minorEastAsia" w:eastAsiaTheme="minorEastAsia" w:cstheme="minorEastAsia"/>
          <w:bCs/>
          <w:sz w:val="24"/>
          <w:szCs w:val="24"/>
          <w:u w:val="single"/>
        </w:rPr>
        <w:t xml:space="preserve">                        </w:t>
      </w:r>
      <w:r/>
    </w:p>
    <w:p>
      <w:pPr>
        <w:pStyle w:val="770"/>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包号：</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p>
    <w:p>
      <w:pPr>
        <w:pStyle w:val="770"/>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lang w:eastAsia="zh-CN"/>
        </w:rPr>
        <w:t xml:space="preserve">采购人</w:t>
      </w:r>
      <w:r>
        <w:rPr>
          <w:rFonts w:hint="eastAsia" w:asciiTheme="minorEastAsia" w:hAnsiTheme="minorEastAsia" w:eastAsiaTheme="minorEastAsia" w:cstheme="minorEastAsia"/>
          <w:bCs/>
          <w:sz w:val="24"/>
          <w:szCs w:val="24"/>
        </w:rPr>
        <w:t xml:space="preserve">名称：</w:t>
      </w:r>
      <w:r>
        <w:rPr>
          <w:rFonts w:hint="eastAsia" w:asciiTheme="minorEastAsia" w:hAnsiTheme="minorEastAsia" w:eastAsiaTheme="minorEastAsia" w:cstheme="minorEastAsia"/>
          <w:bCs/>
          <w:sz w:val="24"/>
          <w:szCs w:val="24"/>
          <w:u w:val="single"/>
        </w:rPr>
        <w:t xml:space="preserve">                              </w:t>
      </w:r>
      <w:r/>
    </w:p>
    <w:p>
      <w:pPr>
        <w:pStyle w:val="770"/>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采购文件获取日期：</w:t>
      </w:r>
      <w:r>
        <w:rPr>
          <w:rFonts w:hint="eastAsia" w:asciiTheme="minorEastAsia" w:hAnsiTheme="minorEastAsia" w:eastAsiaTheme="minorEastAsia" w:cstheme="minorEastAsia"/>
          <w:bCs/>
          <w:sz w:val="24"/>
          <w:szCs w:val="24"/>
          <w:u w:val="single"/>
        </w:rPr>
        <w:t xml:space="preserve">                    </w:t>
      </w:r>
      <w:r/>
    </w:p>
    <w:p>
      <w:pPr>
        <w:pStyle w:val="770"/>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三、质疑事项具体内容</w:t>
      </w:r>
      <w:r/>
    </w:p>
    <w:p>
      <w:pPr>
        <w:pStyle w:val="770"/>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质疑事项1：</w:t>
      </w:r>
      <w:r>
        <w:rPr>
          <w:rFonts w:hint="eastAsia" w:asciiTheme="minorEastAsia" w:hAnsiTheme="minorEastAsia" w:eastAsiaTheme="minorEastAsia" w:cstheme="minorEastAsia"/>
          <w:bCs/>
          <w:sz w:val="24"/>
          <w:szCs w:val="24"/>
          <w:u w:val="single"/>
        </w:rPr>
        <w:t xml:space="preserve">                              </w:t>
      </w:r>
      <w:r/>
    </w:p>
    <w:p>
      <w:pPr>
        <w:pStyle w:val="770"/>
        <w:ind w:firstLine="482"/>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事实依据：</w:t>
      </w:r>
      <w:r>
        <w:rPr>
          <w:rFonts w:hint="eastAsia" w:asciiTheme="minorEastAsia" w:hAnsiTheme="minorEastAsia" w:eastAsiaTheme="minorEastAsia" w:cstheme="minorEastAsia"/>
          <w:bCs/>
          <w:sz w:val="24"/>
          <w:szCs w:val="24"/>
          <w:u w:val="single"/>
        </w:rPr>
        <w:t xml:space="preserve">                                           </w:t>
      </w:r>
      <w:r/>
    </w:p>
    <w:p>
      <w:pPr>
        <w:pStyle w:val="770"/>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法律依据：</w:t>
      </w:r>
      <w:r>
        <w:rPr>
          <w:rFonts w:hint="eastAsia" w:asciiTheme="minorEastAsia" w:hAnsiTheme="minorEastAsia" w:eastAsiaTheme="minorEastAsia" w:cstheme="minorEastAsia"/>
          <w:bCs/>
          <w:sz w:val="24"/>
          <w:szCs w:val="24"/>
          <w:u w:val="single"/>
        </w:rPr>
        <w:t xml:space="preserve">                                          </w:t>
      </w:r>
      <w:r/>
    </w:p>
    <w:p>
      <w:pPr>
        <w:pStyle w:val="770"/>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质疑事项2</w:t>
      </w:r>
      <w:r/>
    </w:p>
    <w:p>
      <w:pPr>
        <w:pStyle w:val="770"/>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w:t>
      </w:r>
      <w:r/>
    </w:p>
    <w:p>
      <w:pPr>
        <w:pStyle w:val="770"/>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四、与质疑事项相关的质疑请求</w:t>
      </w:r>
      <w:r/>
    </w:p>
    <w:p>
      <w:pPr>
        <w:pStyle w:val="770"/>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请求：</w:t>
      </w:r>
      <w:r>
        <w:rPr>
          <w:rFonts w:hint="eastAsia" w:asciiTheme="minorEastAsia" w:hAnsiTheme="minorEastAsia" w:eastAsiaTheme="minorEastAsia" w:cstheme="minorEastAsia"/>
          <w:bCs/>
          <w:sz w:val="24"/>
          <w:szCs w:val="24"/>
          <w:u w:val="single"/>
        </w:rPr>
        <w:t xml:space="preserve">                                               </w:t>
      </w:r>
      <w:r/>
    </w:p>
    <w:p>
      <w:pPr>
        <w:pStyle w:val="770"/>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签字（签章）：          公章：               日期：    </w:t>
      </w:r>
      <w:r/>
    </w:p>
    <w:p>
      <w:pPr>
        <w:pStyle w:val="770"/>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质疑函制作说明：</w:t>
      </w:r>
      <w:r/>
    </w:p>
    <w:p>
      <w:pPr>
        <w:pStyle w:val="770"/>
        <w:ind w:firstLine="482"/>
        <w:spacing w:line="420" w:lineRule="exact"/>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 </w:t>
      </w:r>
      <w:r>
        <w:rPr>
          <w:rFonts w:hint="eastAsia" w:asciiTheme="minorEastAsia" w:hAnsiTheme="minorEastAsia" w:eastAsiaTheme="minorEastAsia" w:cstheme="minorEastAsia"/>
          <w:bCs/>
          <w:sz w:val="24"/>
          <w:szCs w:val="24"/>
          <w:lang w:eastAsia="zh-CN"/>
        </w:rPr>
        <w:t xml:space="preserve">投标人</w:t>
      </w:r>
      <w:r>
        <w:rPr>
          <w:rFonts w:hint="eastAsia" w:asciiTheme="minorEastAsia" w:hAnsiTheme="minorEastAsia" w:eastAsiaTheme="minorEastAsia" w:cstheme="minorEastAsia"/>
          <w:bCs/>
          <w:sz w:val="24"/>
          <w:szCs w:val="24"/>
        </w:rPr>
        <w:t xml:space="preserve">提出质疑时，应提交质疑函和必要的证明材料。</w:t>
      </w:r>
      <w:r/>
    </w:p>
    <w:p>
      <w:pPr>
        <w:pStyle w:val="770"/>
        <w:ind w:firstLine="482"/>
        <w:spacing w:line="420" w:lineRule="exact"/>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 质疑</w:t>
      </w:r>
      <w:r>
        <w:rPr>
          <w:rFonts w:hint="eastAsia" w:asciiTheme="minorEastAsia" w:hAnsiTheme="minorEastAsia" w:eastAsiaTheme="minorEastAsia" w:cstheme="minorEastAsia"/>
          <w:bCs/>
          <w:sz w:val="24"/>
          <w:szCs w:val="24"/>
          <w:lang w:eastAsia="zh-CN"/>
        </w:rPr>
        <w:t xml:space="preserve">投标人</w:t>
      </w:r>
      <w:r>
        <w:rPr>
          <w:rFonts w:hint="eastAsia" w:asciiTheme="minorEastAsia" w:hAnsiTheme="minorEastAsia" w:eastAsiaTheme="minorEastAsia" w:cstheme="minorEastAsia"/>
          <w:bCs/>
          <w:sz w:val="24"/>
          <w:szCs w:val="24"/>
        </w:rPr>
        <w:t xml:space="preserve">若委托代理人进行质疑的，质疑函应按要求列明“授权代表”的有关内容，并在附件中提交由质疑</w:t>
      </w:r>
      <w:r>
        <w:rPr>
          <w:rFonts w:hint="eastAsia" w:asciiTheme="minorEastAsia" w:hAnsiTheme="minorEastAsia" w:eastAsiaTheme="minorEastAsia" w:cstheme="minorEastAsia"/>
          <w:bCs/>
          <w:sz w:val="24"/>
          <w:szCs w:val="24"/>
          <w:lang w:eastAsia="zh-CN"/>
        </w:rPr>
        <w:t xml:space="preserve">投标人</w:t>
      </w:r>
      <w:r>
        <w:rPr>
          <w:rFonts w:hint="eastAsia" w:asciiTheme="minorEastAsia" w:hAnsiTheme="minorEastAsia" w:eastAsiaTheme="minorEastAsia" w:cstheme="minorEastAsia"/>
          <w:bCs/>
          <w:sz w:val="24"/>
          <w:szCs w:val="24"/>
        </w:rPr>
        <w:t xml:space="preserve">签署的授权委托书。授权委托书应载明代理人的姓名或者名称、代理事项、具体权限、期限和相关事项。</w:t>
      </w:r>
      <w:r/>
    </w:p>
    <w:p>
      <w:pPr>
        <w:pStyle w:val="770"/>
        <w:ind w:firstLine="482"/>
        <w:spacing w:line="420" w:lineRule="exact"/>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 质疑</w:t>
      </w:r>
      <w:r>
        <w:rPr>
          <w:rFonts w:hint="eastAsia" w:asciiTheme="minorEastAsia" w:hAnsiTheme="minorEastAsia" w:eastAsiaTheme="minorEastAsia" w:cstheme="minorEastAsia"/>
          <w:bCs/>
          <w:sz w:val="24"/>
          <w:szCs w:val="24"/>
          <w:lang w:eastAsia="zh-CN"/>
        </w:rPr>
        <w:t xml:space="preserve">投标人</w:t>
      </w:r>
      <w:r>
        <w:rPr>
          <w:rFonts w:hint="eastAsia" w:asciiTheme="minorEastAsia" w:hAnsiTheme="minorEastAsia" w:eastAsiaTheme="minorEastAsia" w:cstheme="minorEastAsia"/>
          <w:bCs/>
          <w:sz w:val="24"/>
          <w:szCs w:val="24"/>
        </w:rPr>
        <w:t xml:space="preserve">若对项目的某一分包进行质疑，质疑函中应列明具体分包号。</w:t>
      </w:r>
      <w:r/>
    </w:p>
    <w:p>
      <w:pPr>
        <w:pStyle w:val="770"/>
        <w:ind w:firstLine="482"/>
        <w:spacing w:line="420" w:lineRule="exact"/>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 质疑函的质疑事项应具体、明确，并有必要的事实依据和法律依据。</w:t>
      </w:r>
      <w:r/>
    </w:p>
    <w:p>
      <w:pPr>
        <w:pStyle w:val="770"/>
        <w:ind w:firstLine="482"/>
        <w:spacing w:line="420" w:lineRule="exact"/>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5. 质疑函的质疑请求应与质疑事项相关。</w:t>
      </w:r>
      <w:r/>
    </w:p>
    <w:p>
      <w:pPr>
        <w:pStyle w:val="770"/>
        <w:ind w:firstLine="482"/>
        <w:spacing w:line="420" w:lineRule="exact"/>
        <w:widowControl/>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6. 质疑</w:t>
      </w:r>
      <w:r>
        <w:rPr>
          <w:rFonts w:hint="eastAsia" w:asciiTheme="minorEastAsia" w:hAnsiTheme="minorEastAsia" w:eastAsiaTheme="minorEastAsia" w:cstheme="minorEastAsia"/>
          <w:bCs/>
          <w:sz w:val="24"/>
          <w:szCs w:val="24"/>
          <w:lang w:eastAsia="zh-CN"/>
        </w:rPr>
        <w:t xml:space="preserve">投标人</w:t>
      </w:r>
      <w:r>
        <w:rPr>
          <w:rFonts w:hint="eastAsia" w:asciiTheme="minorEastAsia" w:hAnsiTheme="minorEastAsia" w:eastAsiaTheme="minorEastAsia" w:cstheme="minorEastAsia"/>
          <w:bCs/>
          <w:sz w:val="24"/>
          <w:szCs w:val="24"/>
        </w:rPr>
        <w:t xml:space="preserve">为自然人的，质疑函应由本人签字；质疑</w:t>
      </w:r>
      <w:r>
        <w:rPr>
          <w:rFonts w:hint="eastAsia" w:asciiTheme="minorEastAsia" w:hAnsiTheme="minorEastAsia" w:eastAsiaTheme="minorEastAsia" w:cstheme="minorEastAsia"/>
          <w:bCs/>
          <w:sz w:val="24"/>
          <w:szCs w:val="24"/>
          <w:lang w:eastAsia="zh-CN"/>
        </w:rPr>
        <w:t xml:space="preserve">投标人</w:t>
      </w:r>
      <w:r>
        <w:rPr>
          <w:rFonts w:hint="eastAsia" w:asciiTheme="minorEastAsia" w:hAnsiTheme="minorEastAsia" w:eastAsiaTheme="minorEastAsia" w:cstheme="minorEastAsia"/>
          <w:bCs/>
          <w:sz w:val="24"/>
          <w:szCs w:val="24"/>
        </w:rPr>
        <w:t xml:space="preserve">为法人或者其他组织的，质疑函应由法定代表人、主要负责人，或者其授权代表签字或者盖章，并加盖公章。</w:t>
      </w:r>
      <w:r/>
    </w:p>
    <w:sectPr>
      <w:footnotePr/>
      <w:endnotePr/>
      <w:type w:val="nextPage"/>
      <w:pgSz w:w="11906" w:h="16838" w:orient="portrait"/>
      <w:pgMar w:top="1440" w:right="1633" w:bottom="1440" w:left="1633" w:header="737" w:footer="1134"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仿宋_GBK">
    <w:panose1 w:val="020B0503020202020204"/>
  </w:font>
  <w:font w:name="Symbol">
    <w:panose1 w:val="05050102010706020507"/>
  </w:font>
  <w:font w:name="Wingdings">
    <w:panose1 w:val="05000000000000000000"/>
  </w:font>
  <w:font w:name="等线">
    <w:panose1 w:val="02010600030101010101"/>
  </w:font>
  <w:font w:name="方正仿宋_GB2312">
    <w:panose1 w:val="020B0503020202020204"/>
  </w:font>
  <w:font w:name="Courier New">
    <w:panose1 w:val="02070309020205020404"/>
  </w:font>
  <w:font w:name="楷体_GB2312">
    <w:panose1 w:val="02010609060101010101"/>
  </w:font>
  <w:font w:name="方正小标宋_GBK">
    <w:panose1 w:val="020B0503020202020204"/>
  </w:font>
  <w:font w:name="Times New Roman">
    <w:panose1 w:val="02020603050405020304"/>
  </w:font>
  <w:font w:name="仿宋_GB2312">
    <w:panose1 w:val="02010609060101010101"/>
  </w:font>
  <w:font w:name="黑体">
    <w:panose1 w:val="02010609060101010101"/>
  </w:font>
  <w:font w:name="Arial">
    <w:panose1 w:val="020B0604020202020204"/>
  </w:font>
  <w:font w:name="Arial Unicode MS">
    <w:panose1 w:val="020B0604020202020204"/>
  </w:font>
  <w:font w:name="隶书">
    <w:panose1 w:val="02010509060101010101"/>
  </w:font>
  <w:font w:name="宋体">
    <w:panose1 w:val="02010600030101010101"/>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rPr>
        <w:rFonts w:hint="eastAsia" w:ascii="宋体" w:hAnsi="宋体" w:eastAsia="宋体"/>
        <w:sz w:val="28"/>
        <w:szCs w:val="28"/>
      </w:rPr>
    </w:pPr>
    <w:r>
      <w:rPr>
        <w:rFonts w:hint="eastAsia"/>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2670810</wp:posOffset>
              </wp:positionH>
              <wp:positionV relativeFrom="paragraph">
                <wp:posOffset>-1270</wp:posOffset>
              </wp:positionV>
              <wp:extent cx="499110" cy="139700"/>
              <wp:effectExtent l="0" t="0" r="0" b="1270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499068" cy="139700"/>
                      </a:xfrm>
                      <a:prstGeom prst="rect">
                        <a:avLst/>
                      </a:prstGeom>
                      <a:noFill/>
                      <a:ln w="6350">
                        <a:noFill/>
                      </a:ln>
                    </wps:spPr>
                    <wps:txbx>
                      <w:txbxContent>
                        <w:p>
                          <w:pPr>
                            <w:pStyle w:val="758"/>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0.3pt;mso-position-horizontal:absolute;mso-position-vertical-relative:text;margin-top:-0.1pt;mso-position-vertical:absolute;width:39.3pt;height:11.0pt;mso-wrap-distance-left:9.0pt;mso-wrap-distance-top:0.0pt;mso-wrap-distance-right:9.0pt;mso-wrap-distance-bottom:0.0pt;v-text-anchor:top;visibility:visible;" filled="f" stroked="f" strokeweight="0.50pt">
              <v:textbox inset="0,0,0,0">
                <w:txbxContent>
                  <w:p>
                    <w:pPr>
                      <w:pStyle w:val="758"/>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46428415"/>
      <w:rPr/>
    </w:sdtPr>
    <w:sdtContent>
      <w:p>
        <w:pPr>
          <w:pStyle w:val="758"/>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ascii="Arial" w:hAnsi="Arial" w:eastAsia="Arial" w:cs="Arial"/>
        <w:color w:val="000000"/>
        <w:sz w:val="21"/>
        <w:highlight w:val="white"/>
      </w:rPr>
      <w:t xml:space="preserve">JSZC-320900-JZCG-G2025-0068</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ascii="Arial" w:hAnsi="Arial" w:eastAsia="Arial" w:cs="Arial"/>
        <w:color w:val="000000"/>
        <w:sz w:val="21"/>
        <w:highlight w:val="white"/>
      </w:rPr>
      <w:t xml:space="preserve">JSZC-320900-JZCG-G2025-0068</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pStyle w:val="733"/>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247" w:hanging="765"/>
      </w:pPr>
      <w:rPr>
        <w:rFonts w:hint="default"/>
        <w:color w:val="auto"/>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4">
    <w:multiLevelType w:val="hybridMultilevel"/>
    <w:lvl w:ilvl="0">
      <w:start w:val="1"/>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31">
    <w:name w:val="Heading 1"/>
    <w:basedOn w:val="730"/>
    <w:next w:val="730"/>
    <w:link w:val="995"/>
    <w:uiPriority w:val="9"/>
    <w:qFormat/>
    <w:pPr>
      <w:keepLines/>
      <w:keepNext/>
      <w:spacing w:before="340" w:after="330" w:line="578" w:lineRule="auto"/>
      <w:outlineLvl w:val="0"/>
    </w:pPr>
    <w:rPr>
      <w:b/>
      <w:bCs/>
      <w:sz w:val="44"/>
      <w:szCs w:val="44"/>
    </w:rPr>
  </w:style>
  <w:style w:type="paragraph" w:styleId="732">
    <w:name w:val="Heading 2"/>
    <w:basedOn w:val="730"/>
    <w:next w:val="730"/>
    <w:uiPriority w:val="0"/>
    <w:semiHidden/>
    <w:unhideWhenUsed/>
    <w:qFormat/>
    <w:pPr>
      <w:jc w:val="left"/>
      <w:spacing w:beforeAutospacing="1" w:afterAutospacing="1"/>
      <w:outlineLvl w:val="1"/>
    </w:pPr>
    <w:rPr>
      <w:rFonts w:hint="eastAsia" w:ascii="宋体" w:hAnsi="宋体" w:eastAsia="宋体" w:cs="Arial Unicode MS"/>
      <w:b/>
      <w:bCs/>
      <w:sz w:val="36"/>
      <w:szCs w:val="36"/>
      <w:lang w:bidi="bo-CN"/>
    </w:rPr>
  </w:style>
  <w:style w:type="paragraph" w:styleId="733">
    <w:name w:val="Heading 3"/>
    <w:basedOn w:val="730"/>
    <w:next w:val="730"/>
    <w:uiPriority w:val="0"/>
    <w:unhideWhenUsed/>
    <w:qFormat/>
    <w:pPr>
      <w:numPr>
        <w:ilvl w:val="2"/>
        <w:numId w:val="1"/>
      </w:numPr>
      <w:keepLines/>
      <w:keepNext/>
      <w:spacing w:before="260" w:after="260" w:line="415" w:lineRule="auto"/>
      <w:outlineLvl w:val="2"/>
    </w:pPr>
    <w:rPr>
      <w:rFonts w:ascii="黑体" w:hAnsi="黑体" w:eastAsia="黑体" w:cs="黑体"/>
      <w:b/>
      <w:bCs/>
      <w:sz w:val="28"/>
      <w:szCs w:val="28"/>
    </w:rPr>
  </w:style>
  <w:style w:type="paragraph" w:styleId="734">
    <w:name w:val="Heading 4"/>
    <w:basedOn w:val="730"/>
    <w:next w:val="730"/>
    <w:uiPriority w:val="0"/>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uiPriority w:val="9"/>
    <w:unhideWhenUsed/>
    <w:qFormat/>
    <w:pPr>
      <w:keepLines/>
      <w:keepNext/>
      <w:spacing w:before="320" w:after="200"/>
      <w:outlineLvl w:val="4"/>
    </w:pPr>
    <w:rPr>
      <w:rFonts w:ascii="Arial" w:hAnsi="Arial" w:eastAsia="Arial" w:cs="Arial"/>
      <w:b/>
      <w:bCs/>
      <w:sz w:val="24"/>
    </w:rPr>
  </w:style>
  <w:style w:type="paragraph" w:styleId="736">
    <w:name w:val="Heading 6"/>
    <w:basedOn w:val="730"/>
    <w:next w:val="730"/>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uiPriority w:val="9"/>
    <w:unhideWhenUsed/>
    <w:qFormat/>
    <w:pPr>
      <w:keepLines/>
      <w:keepNext/>
      <w:spacing w:before="320" w:after="200"/>
      <w:outlineLvl w:val="8"/>
    </w:pPr>
    <w:rPr>
      <w:rFonts w:ascii="Arial" w:hAnsi="Arial" w:eastAsia="Arial" w:cs="Arial"/>
      <w:i/>
      <w:iCs/>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spacing w:after="57"/>
    </w:pPr>
  </w:style>
  <w:style w:type="paragraph" w:styleId="743">
    <w:name w:val="Normal Indent"/>
    <w:basedOn w:val="730"/>
    <w:link w:val="969"/>
    <w:uiPriority w:val="0"/>
    <w:qFormat/>
    <w:pPr>
      <w:ind w:firstLine="420"/>
      <w:jc w:val="left"/>
    </w:pPr>
    <w:rPr>
      <w:rFonts w:ascii="Times New Roman" w:hAnsi="Times New Roman" w:eastAsia="楷体_GB2312" w:cs="Times New Roman"/>
      <w:sz w:val="24"/>
      <w:szCs w:val="20"/>
    </w:rPr>
  </w:style>
  <w:style w:type="paragraph" w:styleId="744">
    <w:name w:val="Caption"/>
    <w:basedOn w:val="730"/>
    <w:next w:val="73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5">
    <w:name w:val="Document Map"/>
    <w:basedOn w:val="730"/>
    <w:link w:val="1008"/>
    <w:uiPriority w:val="99"/>
    <w:semiHidden/>
    <w:unhideWhenUsed/>
    <w:qFormat/>
    <w:rPr>
      <w:rFonts w:ascii="宋体" w:eastAsia="宋体"/>
      <w:sz w:val="18"/>
      <w:szCs w:val="18"/>
    </w:rPr>
  </w:style>
  <w:style w:type="paragraph" w:styleId="746">
    <w:name w:val="annotation text"/>
    <w:basedOn w:val="730"/>
    <w:link w:val="1001"/>
    <w:uiPriority w:val="99"/>
    <w:qFormat/>
    <w:pPr>
      <w:jc w:val="left"/>
    </w:pPr>
  </w:style>
  <w:style w:type="paragraph" w:styleId="747">
    <w:name w:val="Body Text"/>
    <w:basedOn w:val="730"/>
    <w:next w:val="748"/>
    <w:link w:val="970"/>
    <w:uiPriority w:val="0"/>
    <w:qFormat/>
    <w:rPr>
      <w:rFonts w:ascii="Times New Roman" w:hAnsi="Times New Roman" w:eastAsia="宋体" w:cs="Times New Roman"/>
      <w:szCs w:val="20"/>
    </w:rPr>
  </w:style>
  <w:style w:type="paragraph" w:styleId="748">
    <w:name w:val="toc 5"/>
    <w:basedOn w:val="730"/>
    <w:next w:val="730"/>
    <w:uiPriority w:val="39"/>
    <w:unhideWhenUsed/>
    <w:qFormat/>
    <w:pPr>
      <w:ind w:left="1134"/>
      <w:spacing w:after="57"/>
    </w:pPr>
  </w:style>
  <w:style w:type="paragraph" w:styleId="749">
    <w:name w:val="Body Text Indent"/>
    <w:basedOn w:val="730"/>
    <w:next w:val="730"/>
    <w:link w:val="977"/>
    <w:uiPriority w:val="0"/>
    <w:qFormat/>
    <w:pPr>
      <w:ind w:left="420"/>
      <w:spacing w:after="120"/>
    </w:pPr>
  </w:style>
  <w:style w:type="paragraph" w:styleId="750">
    <w:name w:val="index 4"/>
    <w:basedOn w:val="730"/>
    <w:next w:val="730"/>
    <w:uiPriority w:val="99"/>
    <w:unhideWhenUsed/>
    <w:qFormat/>
    <w:rPr>
      <w:sz w:val="24"/>
    </w:rPr>
  </w:style>
  <w:style w:type="paragraph" w:styleId="751">
    <w:name w:val="toc 3"/>
    <w:basedOn w:val="730"/>
    <w:next w:val="730"/>
    <w:uiPriority w:val="39"/>
    <w:unhideWhenUsed/>
    <w:qFormat/>
    <w:pPr>
      <w:ind w:left="567"/>
      <w:spacing w:after="57"/>
    </w:pPr>
  </w:style>
  <w:style w:type="paragraph" w:styleId="752">
    <w:name w:val="Plain Text"/>
    <w:basedOn w:val="730"/>
    <w:link w:val="1000"/>
    <w:uiPriority w:val="0"/>
    <w:qFormat/>
    <w:rPr>
      <w:rFonts w:ascii="宋体" w:hAnsi="Courier New" w:eastAsia="宋体" w:cs="Courier New"/>
      <w:szCs w:val="21"/>
    </w:rPr>
  </w:style>
  <w:style w:type="paragraph" w:styleId="753">
    <w:name w:val="toc 8"/>
    <w:basedOn w:val="730"/>
    <w:next w:val="730"/>
    <w:uiPriority w:val="39"/>
    <w:unhideWhenUsed/>
    <w:qFormat/>
    <w:pPr>
      <w:ind w:left="1984"/>
      <w:spacing w:after="57"/>
    </w:pPr>
  </w:style>
  <w:style w:type="paragraph" w:styleId="754">
    <w:name w:val="Date"/>
    <w:basedOn w:val="730"/>
    <w:next w:val="730"/>
    <w:link w:val="982"/>
    <w:uiPriority w:val="0"/>
    <w:qFormat/>
    <w:pPr>
      <w:ind w:left="100"/>
    </w:pPr>
  </w:style>
  <w:style w:type="paragraph" w:styleId="755">
    <w:name w:val="Body Text Indent 2"/>
    <w:basedOn w:val="730"/>
    <w:next w:val="730"/>
    <w:link w:val="973"/>
    <w:uiPriority w:val="0"/>
    <w:qFormat/>
    <w:pPr>
      <w:ind w:left="420"/>
      <w:spacing w:after="120" w:line="480" w:lineRule="auto"/>
    </w:pPr>
  </w:style>
  <w:style w:type="paragraph" w:styleId="756">
    <w:name w:val="endnote text"/>
    <w:basedOn w:val="730"/>
    <w:link w:val="961"/>
    <w:uiPriority w:val="99"/>
    <w:semiHidden/>
    <w:unhideWhenUsed/>
    <w:qFormat/>
    <w:rPr>
      <w:sz w:val="20"/>
    </w:rPr>
  </w:style>
  <w:style w:type="paragraph" w:styleId="757">
    <w:name w:val="Balloon Text"/>
    <w:basedOn w:val="730"/>
    <w:link w:val="984"/>
    <w:uiPriority w:val="0"/>
    <w:qFormat/>
    <w:rPr>
      <w:sz w:val="18"/>
      <w:szCs w:val="18"/>
    </w:rPr>
  </w:style>
  <w:style w:type="paragraph" w:styleId="758">
    <w:name w:val="Footer"/>
    <w:basedOn w:val="730"/>
    <w:link w:val="993"/>
    <w:uiPriority w:val="99"/>
    <w:unhideWhenUsed/>
    <w:qFormat/>
    <w:pPr>
      <w:jc w:val="left"/>
      <w:tabs>
        <w:tab w:val="center" w:pos="4153" w:leader="none"/>
        <w:tab w:val="right" w:pos="8306" w:leader="none"/>
      </w:tabs>
    </w:pPr>
    <w:rPr>
      <w:sz w:val="18"/>
      <w:szCs w:val="18"/>
    </w:rPr>
  </w:style>
  <w:style w:type="paragraph" w:styleId="759">
    <w:name w:val="Header"/>
    <w:basedOn w:val="730"/>
    <w:link w:val="99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60">
    <w:name w:val="toc 1"/>
    <w:basedOn w:val="730"/>
    <w:next w:val="730"/>
    <w:uiPriority w:val="39"/>
    <w:qFormat/>
    <w:pPr>
      <w:jc w:val="left"/>
      <w:spacing w:before="120" w:after="120" w:line="400" w:lineRule="exact"/>
    </w:pPr>
    <w:rPr>
      <w:rFonts w:hint="eastAsia" w:ascii="宋体" w:hAnsi="宋体" w:eastAsia="宋体" w:cs="Times New Roman"/>
      <w:caps/>
      <w:sz w:val="24"/>
    </w:rPr>
  </w:style>
  <w:style w:type="paragraph" w:styleId="761">
    <w:name w:val="toc 4"/>
    <w:basedOn w:val="730"/>
    <w:next w:val="730"/>
    <w:uiPriority w:val="39"/>
    <w:unhideWhenUsed/>
    <w:qFormat/>
    <w:pPr>
      <w:ind w:left="850"/>
      <w:spacing w:after="57"/>
    </w:pPr>
  </w:style>
  <w:style w:type="paragraph" w:styleId="762">
    <w:name w:val="Subtitle"/>
    <w:basedOn w:val="730"/>
    <w:next w:val="730"/>
    <w:link w:val="845"/>
    <w:uiPriority w:val="11"/>
    <w:qFormat/>
    <w:pPr>
      <w:spacing w:before="200" w:after="200"/>
    </w:pPr>
    <w:rPr>
      <w:sz w:val="24"/>
    </w:rPr>
  </w:style>
  <w:style w:type="paragraph" w:styleId="763">
    <w:name w:val="footnote text"/>
    <w:basedOn w:val="730"/>
    <w:link w:val="960"/>
    <w:uiPriority w:val="99"/>
    <w:semiHidden/>
    <w:unhideWhenUsed/>
    <w:qFormat/>
    <w:pPr>
      <w:spacing w:after="40"/>
    </w:pPr>
    <w:rPr>
      <w:sz w:val="18"/>
    </w:rPr>
  </w:style>
  <w:style w:type="paragraph" w:styleId="764">
    <w:name w:val="toc 6"/>
    <w:basedOn w:val="730"/>
    <w:next w:val="730"/>
    <w:uiPriority w:val="39"/>
    <w:unhideWhenUsed/>
    <w:qFormat/>
    <w:pPr>
      <w:ind w:left="1417"/>
      <w:spacing w:after="57"/>
    </w:pPr>
  </w:style>
  <w:style w:type="paragraph" w:styleId="765">
    <w:name w:val="Body Text Indent 3"/>
    <w:basedOn w:val="730"/>
    <w:link w:val="975"/>
    <w:uiPriority w:val="0"/>
    <w:qFormat/>
    <w:pPr>
      <w:ind w:left="420"/>
      <w:spacing w:after="120"/>
    </w:pPr>
    <w:rPr>
      <w:sz w:val="16"/>
      <w:szCs w:val="16"/>
    </w:rPr>
  </w:style>
  <w:style w:type="paragraph" w:styleId="766">
    <w:name w:val="index 9"/>
    <w:basedOn w:val="730"/>
    <w:next w:val="730"/>
    <w:uiPriority w:val="0"/>
    <w:qFormat/>
    <w:pPr>
      <w:ind w:left="1600"/>
    </w:pPr>
    <w:rPr>
      <w:rFonts w:ascii="Times New Roman" w:hAnsi="Times New Roman" w:eastAsia="宋体" w:cs="Times New Roman"/>
    </w:rPr>
  </w:style>
  <w:style w:type="paragraph" w:styleId="767">
    <w:name w:val="table of figures"/>
    <w:basedOn w:val="730"/>
    <w:next w:val="730"/>
    <w:uiPriority w:val="99"/>
    <w:unhideWhenUsed/>
    <w:qFormat/>
  </w:style>
  <w:style w:type="paragraph" w:styleId="768">
    <w:name w:val="toc 2"/>
    <w:basedOn w:val="730"/>
    <w:next w:val="730"/>
    <w:uiPriority w:val="39"/>
    <w:unhideWhenUsed/>
    <w:qFormat/>
    <w:pPr>
      <w:ind w:left="283"/>
      <w:spacing w:after="57"/>
    </w:pPr>
  </w:style>
  <w:style w:type="paragraph" w:styleId="769">
    <w:name w:val="toc 9"/>
    <w:basedOn w:val="730"/>
    <w:next w:val="730"/>
    <w:uiPriority w:val="39"/>
    <w:unhideWhenUsed/>
    <w:qFormat/>
    <w:pPr>
      <w:ind w:left="2268"/>
      <w:spacing w:after="57"/>
    </w:pPr>
  </w:style>
  <w:style w:type="paragraph" w:styleId="770">
    <w:name w:val="Normal (Web)"/>
    <w:basedOn w:val="730"/>
    <w:uiPriority w:val="0"/>
    <w:qFormat/>
    <w:pPr>
      <w:jc w:val="left"/>
      <w:spacing w:before="120" w:after="120" w:line="0" w:lineRule="atLeast"/>
    </w:pPr>
    <w:rPr>
      <w:rFonts w:ascii="Times New Roman" w:hAnsi="Times New Roman" w:eastAsia="方正仿宋_GB2312" w:cs="Times New Roman"/>
      <w:sz w:val="32"/>
      <w:szCs w:val="32"/>
    </w:rPr>
  </w:style>
  <w:style w:type="paragraph" w:styleId="771">
    <w:name w:val="Title"/>
    <w:basedOn w:val="730"/>
    <w:next w:val="730"/>
    <w:link w:val="844"/>
    <w:uiPriority w:val="10"/>
    <w:qFormat/>
    <w:pPr>
      <w:contextualSpacing/>
      <w:spacing w:before="300" w:after="200"/>
    </w:pPr>
    <w:rPr>
      <w:sz w:val="48"/>
      <w:szCs w:val="48"/>
    </w:rPr>
  </w:style>
  <w:style w:type="paragraph" w:styleId="772">
    <w:name w:val="Body Text First Indent"/>
    <w:basedOn w:val="747"/>
    <w:uiPriority w:val="99"/>
    <w:qFormat/>
    <w:pPr>
      <w:ind w:firstLine="420"/>
    </w:pPr>
  </w:style>
  <w:style w:type="paragraph" w:styleId="773">
    <w:name w:val="Body Text First Indent 2"/>
    <w:basedOn w:val="749"/>
    <w:link w:val="978"/>
    <w:uiPriority w:val="0"/>
    <w:qFormat/>
    <w:pPr>
      <w:ind w:firstLine="420"/>
    </w:pPr>
  </w:style>
  <w:style w:type="table" w:styleId="774">
    <w:name w:val="Table Grid"/>
    <w:basedOn w:val="7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5">
    <w:name w:val="Strong"/>
    <w:basedOn w:val="740"/>
    <w:uiPriority w:val="22"/>
    <w:qFormat/>
    <w:rPr>
      <w:b/>
      <w:bCs/>
    </w:rPr>
  </w:style>
  <w:style w:type="character" w:styleId="776">
    <w:name w:val="endnote reference"/>
    <w:basedOn w:val="740"/>
    <w:uiPriority w:val="99"/>
    <w:semiHidden/>
    <w:unhideWhenUsed/>
    <w:qFormat/>
    <w:rPr>
      <w:vertAlign w:val="superscript"/>
    </w:rPr>
  </w:style>
  <w:style w:type="character" w:styleId="777">
    <w:name w:val="Hyperlink"/>
    <w:uiPriority w:val="99"/>
    <w:unhideWhenUsed/>
    <w:qFormat/>
    <w:rPr>
      <w:color w:val="0563c1" w:themeColor="hyperlink"/>
      <w:u w:val="single"/>
      <w14:textFill>
        <w14:solidFill>
          <w14:schemeClr w14:val="hlink"/>
        </w14:solidFill>
      </w14:textFill>
    </w:rPr>
  </w:style>
  <w:style w:type="character" w:styleId="778">
    <w:name w:val="annotation reference"/>
    <w:basedOn w:val="740"/>
    <w:uiPriority w:val="0"/>
    <w:qFormat/>
    <w:rPr>
      <w:sz w:val="21"/>
      <w:szCs w:val="21"/>
    </w:rPr>
  </w:style>
  <w:style w:type="character" w:styleId="779">
    <w:name w:val="footnote reference"/>
    <w:basedOn w:val="740"/>
    <w:uiPriority w:val="99"/>
    <w:unhideWhenUsed/>
    <w:qFormat/>
    <w:rPr>
      <w:vertAlign w:val="superscript"/>
    </w:rPr>
  </w:style>
  <w:style w:type="table" w:styleId="780" w:customStyle="1">
    <w:name w:val="Plain Table 1"/>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basedOn w:val="7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basedOn w:val="7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2"/>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3"/>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basedOn w:val="7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5 Dark"/>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6 Colorful"/>
    <w:basedOn w:val="7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Grid Table 7 Colorful"/>
    <w:basedOn w:val="7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List Table 1 Light"/>
    <w:basedOn w:val="7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2"/>
    <w:basedOn w:val="7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List Table 3"/>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4"/>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5 Dark"/>
    <w:basedOn w:val="7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6 Colorful"/>
    <w:basedOn w:val="7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8" w:customStyle="1">
    <w:name w:val="List Table 7 Colorful"/>
    <w:basedOn w:val="7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9" w:customStyle="1">
    <w:name w:val="TOC Heading"/>
    <w:uiPriority w:val="39"/>
    <w:unhideWhenUsed/>
    <w:qFormat/>
    <w:rPr>
      <w:rFonts w:hint="default" w:ascii="Calibri" w:hAnsi="Calibri" w:eastAsia="宋体" w:cs="Calibri"/>
    </w:rPr>
  </w:style>
  <w:style w:type="table" w:styleId="800" w:customStyle="1">
    <w:name w:val="无格式表格 11"/>
    <w:basedOn w:val="7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21"/>
    <w:basedOn w:val="7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31"/>
    <w:basedOn w:val="74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无格式表格 41"/>
    <w:basedOn w:val="74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无格式表格 51"/>
    <w:basedOn w:val="74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网格表 1 浅色1"/>
    <w:basedOn w:val="7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网格表 2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网格表 3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网格表 41"/>
    <w:basedOn w:val="7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网格表 5 深色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网格表 6 彩色1"/>
    <w:basedOn w:val="7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网格表 7 彩色1"/>
    <w:basedOn w:val="7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清单表 1 浅色1"/>
    <w:basedOn w:val="74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清单表 21"/>
    <w:basedOn w:val="7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清单表 3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清单表 4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清单表 5 深色1"/>
    <w:basedOn w:val="7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清单表 6 彩色1"/>
    <w:basedOn w:val="74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8" w:customStyle="1">
    <w:name w:val="清单表 7 彩色1"/>
    <w:basedOn w:val="74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9" w:customStyle="1">
    <w:name w:val="TOC 标题1"/>
    <w:uiPriority w:val="39"/>
    <w:unhideWhenUsed/>
    <w:qFormat/>
    <w:rPr>
      <w:rFonts w:hint="default" w:ascii="Times New Roman" w:hAnsi="Times New Roman" w:eastAsia="宋体" w:cs="Times New Roman"/>
      <w:lang w:val="en-US" w:eastAsia="zh-CN" w:bidi="ar-SA"/>
    </w:rPr>
  </w:style>
  <w:style w:type="character" w:styleId="820" w:customStyle="1">
    <w:name w:val="Title Char"/>
    <w:basedOn w:val="740"/>
    <w:uiPriority w:val="10"/>
    <w:qFormat/>
    <w:rPr>
      <w:sz w:val="48"/>
      <w:szCs w:val="48"/>
    </w:rPr>
  </w:style>
  <w:style w:type="character" w:styleId="821" w:customStyle="1">
    <w:name w:val="Subtitle Char"/>
    <w:basedOn w:val="740"/>
    <w:uiPriority w:val="11"/>
    <w:qFormat/>
    <w:rPr>
      <w:sz w:val="24"/>
      <w:szCs w:val="24"/>
    </w:rPr>
  </w:style>
  <w:style w:type="character" w:styleId="822" w:customStyle="1">
    <w:name w:val="Quote Char"/>
    <w:uiPriority w:val="29"/>
    <w:qFormat/>
    <w:rPr>
      <w:i/>
    </w:rPr>
  </w:style>
  <w:style w:type="character" w:styleId="823" w:customStyle="1">
    <w:name w:val="Intense Quote Char"/>
    <w:uiPriority w:val="30"/>
    <w:qFormat/>
    <w:rPr>
      <w:i/>
    </w:rPr>
  </w:style>
  <w:style w:type="character" w:styleId="824" w:customStyle="1">
    <w:name w:val="Footnote Text Char"/>
    <w:uiPriority w:val="99"/>
    <w:qFormat/>
    <w:rPr>
      <w:sz w:val="18"/>
    </w:rPr>
  </w:style>
  <w:style w:type="character" w:styleId="825" w:customStyle="1">
    <w:name w:val="Endnote Text Char"/>
    <w:uiPriority w:val="99"/>
    <w:qFormat/>
    <w:rPr>
      <w:sz w:val="20"/>
    </w:rPr>
  </w:style>
  <w:style w:type="character" w:styleId="826" w:customStyle="1">
    <w:name w:val="Heading 1 Char"/>
    <w:basedOn w:val="740"/>
    <w:uiPriority w:val="9"/>
    <w:qFormat/>
    <w:rPr>
      <w:rFonts w:ascii="Arial" w:hAnsi="Arial" w:eastAsia="Arial" w:cs="Arial"/>
      <w:sz w:val="40"/>
      <w:szCs w:val="40"/>
    </w:rPr>
  </w:style>
  <w:style w:type="character" w:styleId="827" w:customStyle="1">
    <w:name w:val="Heading 2 Char"/>
    <w:basedOn w:val="740"/>
    <w:link w:val="828"/>
    <w:uiPriority w:val="9"/>
    <w:qFormat/>
    <w:rPr>
      <w:rFonts w:ascii="Arial" w:hAnsi="Arial" w:eastAsia="Arial" w:cs="Arial"/>
      <w:sz w:val="34"/>
    </w:rPr>
  </w:style>
  <w:style w:type="paragraph" w:styleId="828" w:customStyle="1">
    <w:name w:val="标题 21"/>
    <w:basedOn w:val="730"/>
    <w:next w:val="730"/>
    <w:link w:val="827"/>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829" w:customStyle="1">
    <w:name w:val="标题 31"/>
    <w:basedOn w:val="730"/>
    <w:next w:val="730"/>
    <w:link w:val="830"/>
    <w:uiPriority w:val="9"/>
    <w:unhideWhenUsed/>
    <w:qFormat/>
    <w:pPr>
      <w:keepLines/>
      <w:keepNext/>
      <w:spacing w:before="320" w:after="200"/>
      <w:outlineLvl w:val="2"/>
    </w:pPr>
    <w:rPr>
      <w:rFonts w:ascii="Arial" w:hAnsi="Arial" w:eastAsia="Arial" w:cs="Arial"/>
      <w:sz w:val="30"/>
      <w:szCs w:val="30"/>
    </w:rPr>
  </w:style>
  <w:style w:type="character" w:styleId="830" w:customStyle="1">
    <w:name w:val="Heading 3 Char"/>
    <w:basedOn w:val="740"/>
    <w:link w:val="829"/>
    <w:uiPriority w:val="9"/>
    <w:qFormat/>
    <w:rPr>
      <w:rFonts w:ascii="Arial" w:hAnsi="Arial" w:eastAsia="Arial" w:cs="Arial"/>
      <w:sz w:val="30"/>
      <w:szCs w:val="30"/>
    </w:rPr>
  </w:style>
  <w:style w:type="paragraph" w:styleId="831" w:customStyle="1">
    <w:name w:val="标题 41"/>
    <w:basedOn w:val="730"/>
    <w:next w:val="730"/>
    <w:link w:val="832"/>
    <w:uiPriority w:val="9"/>
    <w:unhideWhenUsed/>
    <w:qFormat/>
    <w:pPr>
      <w:keepLines/>
      <w:keepNext/>
      <w:spacing w:before="320" w:after="200"/>
      <w:outlineLvl w:val="3"/>
    </w:pPr>
    <w:rPr>
      <w:rFonts w:ascii="Arial" w:hAnsi="Arial" w:eastAsia="Arial" w:cs="Arial"/>
      <w:b/>
      <w:bCs/>
      <w:sz w:val="26"/>
      <w:szCs w:val="26"/>
    </w:rPr>
  </w:style>
  <w:style w:type="character" w:styleId="832" w:customStyle="1">
    <w:name w:val="Heading 4 Char"/>
    <w:basedOn w:val="740"/>
    <w:link w:val="831"/>
    <w:uiPriority w:val="9"/>
    <w:qFormat/>
    <w:rPr>
      <w:rFonts w:ascii="Arial" w:hAnsi="Arial" w:eastAsia="Arial" w:cs="Arial"/>
      <w:b/>
      <w:bCs/>
      <w:sz w:val="26"/>
      <w:szCs w:val="26"/>
    </w:rPr>
  </w:style>
  <w:style w:type="paragraph" w:styleId="833" w:customStyle="1">
    <w:name w:val="标题 51"/>
    <w:basedOn w:val="730"/>
    <w:next w:val="730"/>
    <w:link w:val="834"/>
    <w:uiPriority w:val="9"/>
    <w:unhideWhenUsed/>
    <w:qFormat/>
    <w:pPr>
      <w:keepLines/>
      <w:keepNext/>
      <w:spacing w:before="320" w:after="200"/>
      <w:outlineLvl w:val="4"/>
    </w:pPr>
    <w:rPr>
      <w:rFonts w:ascii="Arial" w:hAnsi="Arial" w:eastAsia="Arial" w:cs="Arial"/>
      <w:b/>
      <w:bCs/>
      <w:sz w:val="24"/>
    </w:rPr>
  </w:style>
  <w:style w:type="character" w:styleId="834" w:customStyle="1">
    <w:name w:val="Heading 5 Char"/>
    <w:basedOn w:val="740"/>
    <w:link w:val="833"/>
    <w:uiPriority w:val="9"/>
    <w:qFormat/>
    <w:rPr>
      <w:rFonts w:ascii="Arial" w:hAnsi="Arial" w:eastAsia="Arial" w:cs="Arial"/>
      <w:b/>
      <w:bCs/>
      <w:sz w:val="24"/>
      <w:szCs w:val="24"/>
    </w:rPr>
  </w:style>
  <w:style w:type="paragraph" w:styleId="835" w:customStyle="1">
    <w:name w:val="标题 61"/>
    <w:basedOn w:val="730"/>
    <w:next w:val="730"/>
    <w:link w:val="836"/>
    <w:uiPriority w:val="9"/>
    <w:unhideWhenUsed/>
    <w:qFormat/>
    <w:pPr>
      <w:keepLines/>
      <w:keepNext/>
      <w:spacing w:before="320" w:after="200"/>
      <w:outlineLvl w:val="5"/>
    </w:pPr>
    <w:rPr>
      <w:rFonts w:ascii="Arial" w:hAnsi="Arial" w:eastAsia="Arial" w:cs="Arial"/>
      <w:b/>
      <w:bCs/>
      <w:sz w:val="22"/>
      <w:szCs w:val="22"/>
    </w:rPr>
  </w:style>
  <w:style w:type="character" w:styleId="836" w:customStyle="1">
    <w:name w:val="Heading 6 Char"/>
    <w:basedOn w:val="740"/>
    <w:link w:val="835"/>
    <w:uiPriority w:val="9"/>
    <w:qFormat/>
    <w:rPr>
      <w:rFonts w:ascii="Arial" w:hAnsi="Arial" w:eastAsia="Arial" w:cs="Arial"/>
      <w:b/>
      <w:bCs/>
      <w:sz w:val="22"/>
      <w:szCs w:val="22"/>
    </w:rPr>
  </w:style>
  <w:style w:type="paragraph" w:styleId="837" w:customStyle="1">
    <w:name w:val="标题 71"/>
    <w:basedOn w:val="730"/>
    <w:next w:val="730"/>
    <w:link w:val="838"/>
    <w:uiPriority w:val="9"/>
    <w:unhideWhenUsed/>
    <w:qFormat/>
    <w:pPr>
      <w:keepLines/>
      <w:keepNext/>
      <w:spacing w:before="320" w:after="200"/>
      <w:outlineLvl w:val="6"/>
    </w:pPr>
    <w:rPr>
      <w:rFonts w:ascii="Arial" w:hAnsi="Arial" w:eastAsia="Arial" w:cs="Arial"/>
      <w:b/>
      <w:bCs/>
      <w:i/>
      <w:iCs/>
      <w:sz w:val="22"/>
      <w:szCs w:val="22"/>
    </w:rPr>
  </w:style>
  <w:style w:type="character" w:styleId="838" w:customStyle="1">
    <w:name w:val="Heading 7 Char"/>
    <w:basedOn w:val="740"/>
    <w:link w:val="837"/>
    <w:uiPriority w:val="9"/>
    <w:qFormat/>
    <w:rPr>
      <w:rFonts w:ascii="Arial" w:hAnsi="Arial" w:eastAsia="Arial" w:cs="Arial"/>
      <w:b/>
      <w:bCs/>
      <w:i/>
      <w:iCs/>
      <w:sz w:val="22"/>
      <w:szCs w:val="22"/>
    </w:rPr>
  </w:style>
  <w:style w:type="paragraph" w:styleId="839" w:customStyle="1">
    <w:name w:val="标题 81"/>
    <w:basedOn w:val="730"/>
    <w:next w:val="730"/>
    <w:link w:val="840"/>
    <w:uiPriority w:val="9"/>
    <w:unhideWhenUsed/>
    <w:qFormat/>
    <w:pPr>
      <w:keepLines/>
      <w:keepNext/>
      <w:spacing w:before="320" w:after="200"/>
      <w:outlineLvl w:val="7"/>
    </w:pPr>
    <w:rPr>
      <w:rFonts w:ascii="Arial" w:hAnsi="Arial" w:eastAsia="Arial" w:cs="Arial"/>
      <w:i/>
      <w:iCs/>
      <w:sz w:val="22"/>
      <w:szCs w:val="22"/>
    </w:rPr>
  </w:style>
  <w:style w:type="character" w:styleId="840" w:customStyle="1">
    <w:name w:val="Heading 8 Char"/>
    <w:basedOn w:val="740"/>
    <w:link w:val="839"/>
    <w:uiPriority w:val="9"/>
    <w:qFormat/>
    <w:rPr>
      <w:rFonts w:ascii="Arial" w:hAnsi="Arial" w:eastAsia="Arial" w:cs="Arial"/>
      <w:i/>
      <w:iCs/>
      <w:sz w:val="22"/>
      <w:szCs w:val="22"/>
    </w:rPr>
  </w:style>
  <w:style w:type="paragraph" w:styleId="841" w:customStyle="1">
    <w:name w:val="标题 91"/>
    <w:basedOn w:val="730"/>
    <w:next w:val="730"/>
    <w:link w:val="842"/>
    <w:uiPriority w:val="9"/>
    <w:unhideWhenUsed/>
    <w:qFormat/>
    <w:pPr>
      <w:keepLines/>
      <w:keepNext/>
      <w:spacing w:before="320" w:after="200"/>
      <w:outlineLvl w:val="8"/>
    </w:pPr>
    <w:rPr>
      <w:rFonts w:ascii="Arial" w:hAnsi="Arial" w:eastAsia="Arial" w:cs="Arial"/>
      <w:i/>
      <w:iCs/>
      <w:szCs w:val="21"/>
    </w:rPr>
  </w:style>
  <w:style w:type="character" w:styleId="842" w:customStyle="1">
    <w:name w:val="Heading 9 Char"/>
    <w:basedOn w:val="740"/>
    <w:link w:val="841"/>
    <w:uiPriority w:val="9"/>
    <w:qFormat/>
    <w:rPr>
      <w:rFonts w:ascii="Arial" w:hAnsi="Arial" w:eastAsia="Arial" w:cs="Arial"/>
      <w:i/>
      <w:iCs/>
      <w:sz w:val="21"/>
      <w:szCs w:val="21"/>
    </w:rPr>
  </w:style>
  <w:style w:type="paragraph" w:styleId="843">
    <w:name w:val="No Spacing"/>
    <w:uiPriority w:val="1"/>
    <w:qFormat/>
    <w:rPr>
      <w:rFonts w:hint="default" w:ascii="Times New Roman" w:hAnsi="Times New Roman" w:eastAsia="宋体" w:cs="Times New Roman"/>
      <w:lang w:val="en-US" w:eastAsia="zh-CN" w:bidi="ar-SA"/>
    </w:rPr>
  </w:style>
  <w:style w:type="character" w:styleId="844" w:customStyle="1">
    <w:name w:val="标题 字符"/>
    <w:basedOn w:val="740"/>
    <w:link w:val="771"/>
    <w:uiPriority w:val="10"/>
    <w:qFormat/>
    <w:rPr>
      <w:sz w:val="48"/>
      <w:szCs w:val="48"/>
    </w:rPr>
  </w:style>
  <w:style w:type="character" w:styleId="845" w:customStyle="1">
    <w:name w:val="副标题 字符"/>
    <w:basedOn w:val="740"/>
    <w:link w:val="762"/>
    <w:uiPriority w:val="11"/>
    <w:qFormat/>
    <w:rPr>
      <w:sz w:val="24"/>
      <w:szCs w:val="24"/>
    </w:rPr>
  </w:style>
  <w:style w:type="paragraph" w:styleId="846">
    <w:name w:val="Quote"/>
    <w:basedOn w:val="730"/>
    <w:next w:val="730"/>
    <w:link w:val="847"/>
    <w:uiPriority w:val="29"/>
    <w:qFormat/>
    <w:pPr>
      <w:ind w:left="720" w:right="720"/>
    </w:pPr>
    <w:rPr>
      <w:i/>
    </w:rPr>
  </w:style>
  <w:style w:type="character" w:styleId="847" w:customStyle="1">
    <w:name w:val="引用 字符"/>
    <w:link w:val="846"/>
    <w:uiPriority w:val="29"/>
    <w:qFormat/>
    <w:rPr>
      <w:i/>
    </w:rPr>
  </w:style>
  <w:style w:type="paragraph" w:styleId="848">
    <w:name w:val="Intense Quote"/>
    <w:basedOn w:val="730"/>
    <w:next w:val="730"/>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明显引用 字符"/>
    <w:link w:val="848"/>
    <w:uiPriority w:val="30"/>
    <w:qFormat/>
    <w:rPr>
      <w:i/>
    </w:rPr>
  </w:style>
  <w:style w:type="character" w:styleId="850" w:customStyle="1">
    <w:name w:val="Header Char"/>
    <w:basedOn w:val="740"/>
    <w:uiPriority w:val="99"/>
    <w:qFormat/>
  </w:style>
  <w:style w:type="character" w:styleId="851" w:customStyle="1">
    <w:name w:val="Footer Char"/>
    <w:basedOn w:val="740"/>
    <w:uiPriority w:val="99"/>
    <w:qFormat/>
  </w:style>
  <w:style w:type="paragraph" w:styleId="852" w:customStyle="1">
    <w:name w:val="题注1"/>
    <w:basedOn w:val="730"/>
    <w:next w:val="730"/>
    <w:uiPriority w:val="35"/>
    <w:semiHidden/>
    <w:unhideWhenUsed/>
    <w:qFormat/>
    <w:pPr>
      <w:spacing w:line="276" w:lineRule="auto"/>
    </w:pPr>
    <w:rPr>
      <w:b/>
      <w:bCs/>
      <w:color w:val="5b9bd5" w:themeColor="accent1"/>
      <w:sz w:val="18"/>
      <w:szCs w:val="18"/>
      <w14:textFill>
        <w14:solidFill>
          <w14:schemeClr w14:val="accent1"/>
        </w14:solidFill>
      </w14:textFill>
    </w:rPr>
  </w:style>
  <w:style w:type="character" w:styleId="853" w:customStyle="1">
    <w:name w:val="Caption Char"/>
    <w:uiPriority w:val="99"/>
    <w:qFormat/>
  </w:style>
  <w:style w:type="table" w:styleId="854" w:customStyle="1">
    <w:name w:val="Table Grid Light"/>
    <w:basedOn w:val="7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55" w:customStyle="1">
    <w:name w:val="Grid Table 1 Light - Accent 1"/>
    <w:basedOn w:val="74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2"/>
    <w:basedOn w:val="74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3"/>
    <w:basedOn w:val="74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4"/>
    <w:basedOn w:val="74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5"/>
    <w:basedOn w:val="74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6"/>
    <w:basedOn w:val="74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1" w:customStyle="1">
    <w:name w:val="Grid Table 2 - Accent 1"/>
    <w:basedOn w:val="74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62" w:customStyle="1">
    <w:name w:val="Grid Table 2 - Accent 2"/>
    <w:basedOn w:val="74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3" w:customStyle="1">
    <w:name w:val="Grid Table 2 - Accent 3"/>
    <w:basedOn w:val="74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4" w:customStyle="1">
    <w:name w:val="Grid Table 2 - Accent 4"/>
    <w:basedOn w:val="74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5" w:customStyle="1">
    <w:name w:val="Grid Table 2 - Accent 5"/>
    <w:basedOn w:val="74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6" w:customStyle="1">
    <w:name w:val="Grid Table 2 - Accent 6"/>
    <w:basedOn w:val="74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7" w:customStyle="1">
    <w:name w:val="Grid Table 3 - Accent 1"/>
    <w:basedOn w:val="74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basedOn w:val="74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basedOn w:val="74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basedOn w:val="74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basedOn w:val="74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basedOn w:val="74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4 - Accent 1"/>
    <w:basedOn w:val="74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74" w:customStyle="1">
    <w:name w:val="Grid Table 4 - Accent 2"/>
    <w:basedOn w:val="74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5" w:customStyle="1">
    <w:name w:val="Grid Table 4 - Accent 3"/>
    <w:basedOn w:val="74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6" w:customStyle="1">
    <w:name w:val="Grid Table 4 - Accent 4"/>
    <w:basedOn w:val="74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7" w:customStyle="1">
    <w:name w:val="Grid Table 4 - Accent 5"/>
    <w:basedOn w:val="74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8" w:customStyle="1">
    <w:name w:val="Grid Table 4 - Accent 6"/>
    <w:basedOn w:val="74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9" w:customStyle="1">
    <w:name w:val="Grid Table 5 Dark- Accent 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0" w:customStyle="1">
    <w:name w:val="Grid Table 5 Dark - Accent 2"/>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1" w:customStyle="1">
    <w:name w:val="Grid Table 5 Dark - Accent 3"/>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2" w:customStyle="1">
    <w:name w:val="Grid Table 5 Dark- Accent 4"/>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3" w:customStyle="1">
    <w:name w:val="Grid Table 5 Dark - Accent 5"/>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4" w:customStyle="1">
    <w:name w:val="Grid Table 5 Dark - Accent 6"/>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5" w:customStyle="1">
    <w:name w:val="Grid Table 6 Colorful - Accent 1"/>
    <w:basedOn w:val="74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86" w:customStyle="1">
    <w:name w:val="Grid Table 6 Colorful - Accent 2"/>
    <w:basedOn w:val="74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7" w:customStyle="1">
    <w:name w:val="Grid Table 6 Colorful - Accent 3"/>
    <w:basedOn w:val="74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88" w:customStyle="1">
    <w:name w:val="Grid Table 6 Colorful - Accent 4"/>
    <w:basedOn w:val="74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89" w:customStyle="1">
    <w:name w:val="Grid Table 6 Colorful - Accent 5"/>
    <w:basedOn w:val="74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0" w:customStyle="1">
    <w:name w:val="Grid Table 6 Colorful - Accent 6"/>
    <w:basedOn w:val="74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1" w:customStyle="1">
    <w:name w:val="Grid Table 7 Colorful - Accent 1"/>
    <w:basedOn w:val="74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92" w:customStyle="1">
    <w:name w:val="Grid Table 7 Colorful - Accent 2"/>
    <w:basedOn w:val="74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3" w:customStyle="1">
    <w:name w:val="Grid Table 7 Colorful - Accent 3"/>
    <w:basedOn w:val="74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4" w:customStyle="1">
    <w:name w:val="Grid Table 7 Colorful - Accent 4"/>
    <w:basedOn w:val="74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5" w:customStyle="1">
    <w:name w:val="Grid Table 7 Colorful - Accent 5"/>
    <w:basedOn w:val="74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6" w:customStyle="1">
    <w:name w:val="Grid Table 7 Colorful - Accent 6"/>
    <w:basedOn w:val="74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7" w:customStyle="1">
    <w:name w:val="List Table 1 Light - Accent 1"/>
    <w:basedOn w:val="74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8" w:customStyle="1">
    <w:name w:val="List Table 1 Light - Accent 2"/>
    <w:basedOn w:val="74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9" w:customStyle="1">
    <w:name w:val="List Table 1 Light - Accent 3"/>
    <w:basedOn w:val="74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0" w:customStyle="1">
    <w:name w:val="List Table 1 Light - Accent 4"/>
    <w:basedOn w:val="74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1" w:customStyle="1">
    <w:name w:val="List Table 1 Light - Accent 5"/>
    <w:basedOn w:val="74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02" w:customStyle="1">
    <w:name w:val="List Table 1 Light - Accent 6"/>
    <w:basedOn w:val="74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3" w:customStyle="1">
    <w:name w:val="List Table 2 - Accent 1"/>
    <w:basedOn w:val="74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4" w:customStyle="1">
    <w:name w:val="List Table 2 - Accent 2"/>
    <w:basedOn w:val="74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5" w:customStyle="1">
    <w:name w:val="List Table 2 - Accent 3"/>
    <w:basedOn w:val="74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6" w:customStyle="1">
    <w:name w:val="List Table 2 - Accent 4"/>
    <w:basedOn w:val="74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07" w:customStyle="1">
    <w:name w:val="List Table 2 - Accent 5"/>
    <w:basedOn w:val="74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8" w:customStyle="1">
    <w:name w:val="List Table 2 - Accent 6"/>
    <w:basedOn w:val="74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9" w:customStyle="1">
    <w:name w:val="List Table 3 - Accent 1"/>
    <w:basedOn w:val="74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0" w:customStyle="1">
    <w:name w:val="List Table 3 - Accent 2"/>
    <w:basedOn w:val="74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1" w:customStyle="1">
    <w:name w:val="List Table 3 - Accent 3"/>
    <w:basedOn w:val="74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2" w:customStyle="1">
    <w:name w:val="List Table 3 - Accent 4"/>
    <w:basedOn w:val="74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3" w:customStyle="1">
    <w:name w:val="List Table 3 - Accent 5"/>
    <w:basedOn w:val="74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14" w:customStyle="1">
    <w:name w:val="List Table 3 - Accent 6"/>
    <w:basedOn w:val="74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5" w:customStyle="1">
    <w:name w:val="List Table 4 - Accent 1"/>
    <w:basedOn w:val="74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6" w:customStyle="1">
    <w:name w:val="List Table 4 - Accent 2"/>
    <w:basedOn w:val="74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7" w:customStyle="1">
    <w:name w:val="List Table 4 - Accent 3"/>
    <w:basedOn w:val="74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8" w:customStyle="1">
    <w:name w:val="List Table 4 - Accent 4"/>
    <w:basedOn w:val="74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9" w:customStyle="1">
    <w:name w:val="List Table 4 - Accent 5"/>
    <w:basedOn w:val="74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0" w:customStyle="1">
    <w:name w:val="List Table 4 - Accent 6"/>
    <w:basedOn w:val="74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1" w:customStyle="1">
    <w:name w:val="List Table 5 Dark - Accent 1"/>
    <w:basedOn w:val="74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basedOn w:val="74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basedOn w:val="74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basedOn w:val="74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basedOn w:val="74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basedOn w:val="74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6 Colorful - Accent 1"/>
    <w:basedOn w:val="74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8" w:customStyle="1">
    <w:name w:val="List Table 6 Colorful - Accent 2"/>
    <w:basedOn w:val="74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9" w:customStyle="1">
    <w:name w:val="List Table 6 Colorful - Accent 3"/>
    <w:basedOn w:val="74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0" w:customStyle="1">
    <w:name w:val="List Table 6 Colorful - Accent 4"/>
    <w:basedOn w:val="74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1" w:customStyle="1">
    <w:name w:val="List Table 6 Colorful - Accent 5"/>
    <w:basedOn w:val="74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32" w:customStyle="1">
    <w:name w:val="List Table 6 Colorful - Accent 6"/>
    <w:basedOn w:val="74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33" w:customStyle="1">
    <w:name w:val="List Table 7 Colorful - Accent 1"/>
    <w:basedOn w:val="74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4" w:customStyle="1">
    <w:name w:val="List Table 7 Colorful - Accent 2"/>
    <w:basedOn w:val="74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5" w:customStyle="1">
    <w:name w:val="List Table 7 Colorful - Accent 3"/>
    <w:basedOn w:val="74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6" w:customStyle="1">
    <w:name w:val="List Table 7 Colorful - Accent 4"/>
    <w:basedOn w:val="74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7" w:customStyle="1">
    <w:name w:val="List Table 7 Colorful - Accent 5"/>
    <w:basedOn w:val="74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8" w:customStyle="1">
    <w:name w:val="List Table 7 Colorful - Accent 6"/>
    <w:basedOn w:val="74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9" w:customStyle="1">
    <w:name w:val="Lined - Accent"/>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Lined - Accent 1"/>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1" w:customStyle="1">
    <w:name w:val="Lined - Accent 2"/>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2" w:customStyle="1">
    <w:name w:val="Lined - Accent 3"/>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3" w:customStyle="1">
    <w:name w:val="Lined - Accent 4"/>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4" w:customStyle="1">
    <w:name w:val="Lined - Accent 5"/>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5" w:customStyle="1">
    <w:name w:val="Lined - Accent 6"/>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6" w:customStyle="1">
    <w:name w:val="Bordered &amp; Lined - Accent"/>
    <w:basedOn w:val="74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Bordered &amp; Lined - Accent 1"/>
    <w:basedOn w:val="74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8" w:customStyle="1">
    <w:name w:val="Bordered &amp; Lined - Accent 2"/>
    <w:basedOn w:val="74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9" w:customStyle="1">
    <w:name w:val="Bordered &amp; Lined - Accent 3"/>
    <w:basedOn w:val="74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0" w:customStyle="1">
    <w:name w:val="Bordered &amp; Lined - Accent 4"/>
    <w:basedOn w:val="74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1" w:customStyle="1">
    <w:name w:val="Bordered &amp; Lined - Accent 5"/>
    <w:basedOn w:val="74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2" w:customStyle="1">
    <w:name w:val="Bordered &amp; Lined - Accent 6"/>
    <w:basedOn w:val="74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3" w:customStyle="1">
    <w:name w:val="Bordered"/>
    <w:basedOn w:val="74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4" w:customStyle="1">
    <w:name w:val="Bordered - Accent 1"/>
    <w:basedOn w:val="74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5" w:customStyle="1">
    <w:name w:val="Bordered - Accent 2"/>
    <w:basedOn w:val="74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6" w:customStyle="1">
    <w:name w:val="Bordered - Accent 3"/>
    <w:basedOn w:val="74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7" w:customStyle="1">
    <w:name w:val="Bordered - Accent 4"/>
    <w:basedOn w:val="74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8" w:customStyle="1">
    <w:name w:val="Bordered - Accent 5"/>
    <w:basedOn w:val="74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9" w:customStyle="1">
    <w:name w:val="Bordered - Accent 6"/>
    <w:basedOn w:val="74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0" w:customStyle="1">
    <w:name w:val="脚注文本 字符"/>
    <w:link w:val="763"/>
    <w:uiPriority w:val="99"/>
    <w:qFormat/>
    <w:rPr>
      <w:sz w:val="18"/>
    </w:rPr>
  </w:style>
  <w:style w:type="character" w:styleId="961" w:customStyle="1">
    <w:name w:val="尾注文本 字符"/>
    <w:link w:val="756"/>
    <w:uiPriority w:val="99"/>
    <w:qFormat/>
    <w:rPr>
      <w:sz w:val="20"/>
    </w:rPr>
  </w:style>
  <w:style w:type="paragraph" w:styleId="962" w:customStyle="1">
    <w:name w:val="TOC 标题11"/>
    <w:uiPriority w:val="39"/>
    <w:unhideWhenUsed/>
    <w:qFormat/>
    <w:rPr>
      <w:rFonts w:hint="default" w:ascii="Times New Roman" w:hAnsi="Times New Roman" w:eastAsia="宋体" w:cs="Times New Roman"/>
      <w:lang w:val="en-US" w:eastAsia="zh-CN" w:bidi="ar-SA"/>
    </w:rPr>
  </w:style>
  <w:style w:type="paragraph" w:styleId="963" w:customStyle="1">
    <w:name w:val="标题 11"/>
    <w:basedOn w:val="730"/>
    <w:next w:val="730"/>
    <w:link w:val="976"/>
    <w:uiPriority w:val="0"/>
    <w:qFormat/>
    <w:pPr>
      <w:keepLines/>
      <w:keepNext/>
      <w:spacing w:before="340" w:after="330" w:line="578" w:lineRule="auto"/>
      <w:outlineLvl w:val="0"/>
    </w:pPr>
    <w:rPr>
      <w:b/>
      <w:bCs/>
      <w:sz w:val="44"/>
      <w:szCs w:val="44"/>
    </w:rPr>
  </w:style>
  <w:style w:type="paragraph" w:styleId="964" w:customStyle="1">
    <w:name w:val="页脚1"/>
    <w:basedOn w:val="730"/>
    <w:link w:val="967"/>
    <w:uiPriority w:val="0"/>
    <w:qFormat/>
    <w:pPr>
      <w:jc w:val="left"/>
      <w:tabs>
        <w:tab w:val="center" w:pos="4153" w:leader="none"/>
        <w:tab w:val="right" w:pos="8306" w:leader="none"/>
      </w:tabs>
    </w:pPr>
    <w:rPr>
      <w:sz w:val="18"/>
      <w:szCs w:val="18"/>
    </w:rPr>
  </w:style>
  <w:style w:type="paragraph" w:styleId="965" w:customStyle="1">
    <w:name w:val="页眉1"/>
    <w:basedOn w:val="730"/>
    <w:link w:val="966"/>
    <w:uiPriority w:val="0"/>
    <w:qFormat/>
    <w:pPr>
      <w:jc w:val="center"/>
      <w:tabs>
        <w:tab w:val="center" w:pos="4153" w:leader="none"/>
        <w:tab w:val="right" w:pos="8306" w:leader="none"/>
      </w:tabs>
      <w:pBdr>
        <w:bottom w:val="single" w:color="auto" w:sz="6" w:space="1"/>
      </w:pBdr>
    </w:pPr>
    <w:rPr>
      <w:sz w:val="18"/>
      <w:szCs w:val="18"/>
    </w:rPr>
  </w:style>
  <w:style w:type="character" w:styleId="966" w:customStyle="1">
    <w:name w:val="页眉 Char"/>
    <w:basedOn w:val="740"/>
    <w:link w:val="965"/>
    <w:uiPriority w:val="0"/>
    <w:qFormat/>
    <w:rPr>
      <w:rFonts w:asciiTheme="minorHAnsi" w:hAnsiTheme="minorHAnsi" w:eastAsiaTheme="minorEastAsia" w:cstheme="minorBidi"/>
      <w:sz w:val="18"/>
      <w:szCs w:val="18"/>
    </w:rPr>
  </w:style>
  <w:style w:type="character" w:styleId="967" w:customStyle="1">
    <w:name w:val="页脚 Char"/>
    <w:basedOn w:val="740"/>
    <w:link w:val="964"/>
    <w:uiPriority w:val="0"/>
    <w:qFormat/>
    <w:rPr>
      <w:rFonts w:asciiTheme="minorHAnsi" w:hAnsiTheme="minorHAnsi" w:eastAsiaTheme="minorEastAsia" w:cstheme="minorBidi"/>
      <w:sz w:val="18"/>
      <w:szCs w:val="18"/>
    </w:rPr>
  </w:style>
  <w:style w:type="paragraph" w:styleId="968" w:customStyle="1">
    <w:name w:val="普通正文"/>
    <w:basedOn w:val="730"/>
    <w:link w:val="983"/>
    <w:uiPriority w:val="0"/>
    <w:qFormat/>
    <w:pPr>
      <w:ind w:firstLine="480"/>
      <w:jc w:val="left"/>
      <w:spacing w:before="120" w:after="120" w:line="360" w:lineRule="auto"/>
    </w:pPr>
    <w:rPr>
      <w:rFonts w:ascii="Arial" w:hAnsi="Arial" w:eastAsia="等线" w:cs="Arial"/>
      <w:sz w:val="24"/>
    </w:rPr>
  </w:style>
  <w:style w:type="character" w:styleId="969" w:customStyle="1">
    <w:name w:val="正文缩进 字符"/>
    <w:link w:val="743"/>
    <w:uiPriority w:val="0"/>
    <w:qFormat/>
    <w:rPr>
      <w:rFonts w:eastAsia="楷体_GB2312"/>
      <w:sz w:val="24"/>
    </w:rPr>
  </w:style>
  <w:style w:type="character" w:styleId="970" w:customStyle="1">
    <w:name w:val="正文文本 字符"/>
    <w:basedOn w:val="740"/>
    <w:link w:val="747"/>
    <w:uiPriority w:val="0"/>
    <w:qFormat/>
    <w:rPr>
      <w:sz w:val="21"/>
    </w:rPr>
  </w:style>
  <w:style w:type="paragraph" w:styleId="971" w:customStyle="1">
    <w:name w:val="Default"/>
    <w:basedOn w:val="730"/>
    <w:uiPriority w:val="0"/>
    <w:semiHidden/>
    <w:qFormat/>
    <w:pPr>
      <w:jc w:val="left"/>
    </w:pPr>
    <w:rPr>
      <w:rFonts w:ascii="宋体" w:hAnsi="Calibri" w:cs="宋体"/>
      <w:color w:val="000000"/>
      <w:sz w:val="24"/>
    </w:rPr>
  </w:style>
  <w:style w:type="paragraph" w:styleId="972">
    <w:name w:val="List Paragraph"/>
    <w:basedOn w:val="730"/>
    <w:uiPriority w:val="34"/>
    <w:qFormat/>
    <w:pPr>
      <w:ind w:firstLine="420"/>
    </w:pPr>
  </w:style>
  <w:style w:type="character" w:styleId="973" w:customStyle="1">
    <w:name w:val="正文文本缩进 2 字符"/>
    <w:basedOn w:val="740"/>
    <w:link w:val="755"/>
    <w:uiPriority w:val="0"/>
    <w:qFormat/>
    <w:rPr>
      <w:rFonts w:asciiTheme="minorHAnsi" w:hAnsiTheme="minorHAnsi" w:eastAsiaTheme="minorEastAsia" w:cstheme="minorBidi"/>
      <w:sz w:val="21"/>
      <w:szCs w:val="24"/>
    </w:rPr>
  </w:style>
  <w:style w:type="paragraph" w:styleId="974" w:customStyle="1">
    <w:name w:val="表格正文居中"/>
    <w:basedOn w:val="730"/>
    <w:uiPriority w:val="0"/>
    <w:qFormat/>
    <w:pPr>
      <w:jc w:val="center"/>
      <w:spacing w:line="360" w:lineRule="exact"/>
    </w:pPr>
    <w:rPr>
      <w:rFonts w:cs="Times New Roman"/>
      <w:szCs w:val="21"/>
    </w:rPr>
  </w:style>
  <w:style w:type="character" w:styleId="975" w:customStyle="1">
    <w:name w:val="正文文本缩进 3 字符"/>
    <w:basedOn w:val="740"/>
    <w:link w:val="765"/>
    <w:uiPriority w:val="0"/>
    <w:qFormat/>
    <w:rPr>
      <w:rFonts w:asciiTheme="minorHAnsi" w:hAnsiTheme="minorHAnsi" w:eastAsiaTheme="minorEastAsia" w:cstheme="minorBidi"/>
      <w:sz w:val="16"/>
      <w:szCs w:val="16"/>
    </w:rPr>
  </w:style>
  <w:style w:type="character" w:styleId="976" w:customStyle="1">
    <w:name w:val="标题 1 Char"/>
    <w:basedOn w:val="740"/>
    <w:link w:val="963"/>
    <w:uiPriority w:val="0"/>
    <w:qFormat/>
    <w:rPr>
      <w:rFonts w:asciiTheme="minorHAnsi" w:hAnsiTheme="minorHAnsi" w:eastAsiaTheme="minorEastAsia" w:cstheme="minorBidi"/>
      <w:b/>
      <w:bCs/>
      <w:sz w:val="44"/>
      <w:szCs w:val="44"/>
    </w:rPr>
  </w:style>
  <w:style w:type="character" w:styleId="977" w:customStyle="1">
    <w:name w:val="正文文本缩进 字符"/>
    <w:basedOn w:val="740"/>
    <w:link w:val="749"/>
    <w:uiPriority w:val="0"/>
    <w:qFormat/>
    <w:rPr>
      <w:rFonts w:asciiTheme="minorHAnsi" w:hAnsiTheme="minorHAnsi" w:eastAsiaTheme="minorEastAsia" w:cstheme="minorBidi"/>
      <w:sz w:val="21"/>
      <w:szCs w:val="24"/>
    </w:rPr>
  </w:style>
  <w:style w:type="character" w:styleId="978" w:customStyle="1">
    <w:name w:val="正文文本首行缩进 2 字符"/>
    <w:basedOn w:val="977"/>
    <w:link w:val="773"/>
    <w:uiPriority w:val="0"/>
    <w:qFormat/>
    <w:rPr>
      <w:rFonts w:asciiTheme="minorHAnsi" w:hAnsiTheme="minorHAnsi" w:eastAsiaTheme="minorEastAsia" w:cstheme="minorBidi"/>
      <w:sz w:val="21"/>
      <w:szCs w:val="24"/>
    </w:rPr>
  </w:style>
  <w:style w:type="paragraph" w:styleId="979" w:customStyle="1">
    <w:name w:val="表格正文"/>
    <w:basedOn w:val="730"/>
    <w:next w:val="730"/>
    <w:uiPriority w:val="0"/>
    <w:qFormat/>
    <w:pPr>
      <w:jc w:val="left"/>
      <w:spacing w:line="440" w:lineRule="exact"/>
    </w:pPr>
    <w:rPr>
      <w:rFonts w:cs="Times New Roman"/>
      <w:szCs w:val="21"/>
    </w:rPr>
  </w:style>
  <w:style w:type="paragraph" w:styleId="980" w:customStyle="1">
    <w:name w:val="普通(网站)1"/>
    <w:basedOn w:val="730"/>
    <w:uiPriority w:val="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paragraph" w:styleId="981" w:customStyle="1">
    <w:name w:val="普通(网站)11"/>
    <w:basedOn w:val="730"/>
    <w:uiPriority w:val="0"/>
    <w:unhideWhenUsed/>
    <w:qFormat/>
    <w:pPr>
      <w:ind w:firstLine="5742"/>
      <w:jc w:val="center"/>
      <w:spacing w:before="100" w:beforeAutospacing="1" w:after="100" w:afterAutospacing="1" w:line="360" w:lineRule="auto"/>
      <w:widowControl/>
    </w:pPr>
    <w:rPr>
      <w:rFonts w:cs="宋体" w:asciiTheme="majorEastAsia" w:hAnsiTheme="majorEastAsia" w:eastAsiaTheme="majorEastAsia"/>
      <w:b/>
      <w:color w:val="000000"/>
      <w:sz w:val="44"/>
      <w:szCs w:val="21"/>
    </w:rPr>
  </w:style>
  <w:style w:type="character" w:styleId="982" w:customStyle="1">
    <w:name w:val="日期 字符"/>
    <w:basedOn w:val="740"/>
    <w:link w:val="754"/>
    <w:uiPriority w:val="0"/>
    <w:qFormat/>
    <w:rPr>
      <w:rFonts w:asciiTheme="minorHAnsi" w:hAnsiTheme="minorHAnsi" w:eastAsiaTheme="minorEastAsia" w:cstheme="minorBidi"/>
      <w:sz w:val="21"/>
      <w:szCs w:val="24"/>
    </w:rPr>
  </w:style>
  <w:style w:type="character" w:styleId="983" w:customStyle="1">
    <w:name w:val="普通正文 Char"/>
    <w:link w:val="968"/>
    <w:uiPriority w:val="0"/>
    <w:qFormat/>
    <w:rPr>
      <w:rFonts w:ascii="Arial" w:hAnsi="Arial" w:eastAsia="等线" w:cs="Arial"/>
      <w:sz w:val="24"/>
      <w:szCs w:val="24"/>
    </w:rPr>
  </w:style>
  <w:style w:type="character" w:styleId="984" w:customStyle="1">
    <w:name w:val="批注框文本 字符"/>
    <w:basedOn w:val="740"/>
    <w:link w:val="757"/>
    <w:uiPriority w:val="0"/>
    <w:qFormat/>
    <w:rPr>
      <w:rFonts w:asciiTheme="minorHAnsi" w:hAnsiTheme="minorHAnsi" w:eastAsiaTheme="minorEastAsia" w:cstheme="minorBidi"/>
      <w:sz w:val="18"/>
      <w:szCs w:val="18"/>
    </w:rPr>
  </w:style>
  <w:style w:type="paragraph" w:styleId="985" w:customStyle="1">
    <w:name w:val="Header1"/>
    <w:basedOn w:val="730"/>
    <w:link w:val="986"/>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986" w:customStyle="1">
    <w:name w:val="页眉 Char1"/>
    <w:basedOn w:val="740"/>
    <w:link w:val="985"/>
    <w:uiPriority w:val="99"/>
    <w:semiHidden/>
    <w:qFormat/>
    <w:rPr>
      <w:rFonts w:asciiTheme="minorHAnsi" w:hAnsiTheme="minorHAnsi" w:eastAsiaTheme="minorEastAsia" w:cstheme="minorBidi"/>
      <w:sz w:val="18"/>
      <w:szCs w:val="18"/>
    </w:rPr>
  </w:style>
  <w:style w:type="paragraph" w:styleId="987" w:customStyle="1">
    <w:name w:val="Footer1"/>
    <w:basedOn w:val="730"/>
    <w:link w:val="988"/>
    <w:uiPriority w:val="99"/>
    <w:semiHidden/>
    <w:unhideWhenUsed/>
    <w:qFormat/>
    <w:pPr>
      <w:jc w:val="left"/>
      <w:tabs>
        <w:tab w:val="center" w:pos="4153" w:leader="none"/>
        <w:tab w:val="right" w:pos="8306" w:leader="none"/>
      </w:tabs>
    </w:pPr>
    <w:rPr>
      <w:sz w:val="18"/>
      <w:szCs w:val="18"/>
    </w:rPr>
  </w:style>
  <w:style w:type="character" w:styleId="988" w:customStyle="1">
    <w:name w:val="页脚 Char1"/>
    <w:basedOn w:val="740"/>
    <w:link w:val="987"/>
    <w:uiPriority w:val="99"/>
    <w:semiHidden/>
    <w:qFormat/>
    <w:rPr>
      <w:rFonts w:asciiTheme="minorHAnsi" w:hAnsiTheme="minorHAnsi" w:eastAsiaTheme="minorEastAsia" w:cstheme="minorBidi"/>
      <w:sz w:val="18"/>
      <w:szCs w:val="18"/>
    </w:rPr>
  </w:style>
  <w:style w:type="paragraph" w:styleId="989" w:customStyle="1">
    <w:name w:val="正文文本1"/>
    <w:basedOn w:val="730"/>
    <w:next w:val="730"/>
    <w:uiPriority w:val="0"/>
    <w:unhideWhenUsed/>
    <w:qFormat/>
    <w:pPr>
      <w:spacing w:after="120"/>
    </w:pPr>
    <w:rPr>
      <w:rFonts w:ascii="Calibri" w:hAnsi="Calibri"/>
      <w:szCs w:val="22"/>
    </w:rPr>
  </w:style>
  <w:style w:type="character" w:styleId="990" w:customStyle="1">
    <w:name w:val="font31"/>
    <w:basedOn w:val="740"/>
    <w:uiPriority w:val="0"/>
    <w:qFormat/>
    <w:rPr>
      <w:rFonts w:hint="eastAsia" w:ascii="宋体" w:hAnsi="宋体" w:eastAsia="宋体" w:cs="宋体"/>
      <w:color w:val="000000"/>
      <w:sz w:val="20"/>
      <w:szCs w:val="20"/>
      <w:u w:val="none"/>
    </w:rPr>
  </w:style>
  <w:style w:type="character" w:styleId="991" w:customStyle="1">
    <w:name w:val="font41"/>
    <w:basedOn w:val="740"/>
    <w:uiPriority w:val="0"/>
    <w:qFormat/>
    <w:rPr>
      <w:rFonts w:hint="eastAsia" w:ascii="宋体" w:hAnsi="宋体" w:eastAsia="宋体" w:cs="宋体"/>
      <w:b/>
      <w:bCs/>
      <w:color w:val="ff0000"/>
      <w:sz w:val="20"/>
      <w:szCs w:val="20"/>
      <w:u w:val="none"/>
    </w:rPr>
  </w:style>
  <w:style w:type="character" w:styleId="992" w:customStyle="1">
    <w:name w:val="页眉 字符"/>
    <w:basedOn w:val="740"/>
    <w:link w:val="759"/>
    <w:uiPriority w:val="99"/>
    <w:qFormat/>
    <w:rPr>
      <w:rFonts w:asciiTheme="minorHAnsi" w:hAnsiTheme="minorHAnsi" w:eastAsiaTheme="minorEastAsia" w:cstheme="minorBidi"/>
      <w:sz w:val="18"/>
      <w:szCs w:val="18"/>
    </w:rPr>
  </w:style>
  <w:style w:type="character" w:styleId="993" w:customStyle="1">
    <w:name w:val="页脚 字符"/>
    <w:basedOn w:val="740"/>
    <w:link w:val="758"/>
    <w:uiPriority w:val="99"/>
    <w:qFormat/>
    <w:rPr>
      <w:rFonts w:asciiTheme="minorHAnsi" w:hAnsiTheme="minorHAnsi" w:eastAsiaTheme="minorEastAsia" w:cstheme="minorBidi"/>
      <w:sz w:val="18"/>
      <w:szCs w:val="18"/>
    </w:rPr>
  </w:style>
  <w:style w:type="paragraph" w:styleId="994" w:customStyle="1">
    <w:name w:val="Table Paragraph"/>
    <w:basedOn w:val="730"/>
    <w:uiPriority w:val="1"/>
    <w:qFormat/>
    <w:pPr>
      <w:jc w:val="left"/>
    </w:pPr>
    <w:rPr>
      <w:rFonts w:ascii="Calibri" w:hAnsi="Calibri" w:eastAsia="宋体" w:cs="Calibri"/>
      <w:sz w:val="22"/>
      <w:szCs w:val="22"/>
      <w:lang w:eastAsia="en-US"/>
    </w:rPr>
  </w:style>
  <w:style w:type="character" w:styleId="995" w:customStyle="1">
    <w:name w:val="标题 1 字符"/>
    <w:basedOn w:val="740"/>
    <w:link w:val="731"/>
    <w:uiPriority w:val="9"/>
    <w:qFormat/>
    <w:rPr>
      <w:rFonts w:asciiTheme="minorHAnsi" w:hAnsiTheme="minorHAnsi" w:eastAsiaTheme="minorEastAsia" w:cstheme="minorBidi"/>
      <w:b/>
      <w:bCs/>
      <w:sz w:val="44"/>
      <w:szCs w:val="44"/>
    </w:rPr>
  </w:style>
  <w:style w:type="paragraph" w:styleId="996" w:customStyle="1">
    <w:name w:val="TOC 标题2"/>
    <w:basedOn w:val="731"/>
    <w:next w:val="730"/>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table" w:styleId="997" w:customStyle="1">
    <w:name w:val="网格型1"/>
    <w:basedOn w:val="998"/>
    <w:uiPriority w:val="0"/>
    <w:qFormat/>
    <w:pPr>
      <w:jc w:val="both"/>
      <w:widowControl w:val="off"/>
    </w:pPr>
    <w:tblPr/>
  </w:style>
  <w:style w:type="table" w:styleId="998" w:customStyle="1">
    <w:name w:val="普通表格1"/>
    <w:uiPriority w:val="99"/>
    <w:unhideWhenUsed/>
    <w:qFormat/>
    <w:tblPr>
      <w:tblCellMar>
        <w:left w:w="0" w:type="dxa"/>
        <w:top w:w="0" w:type="dxa"/>
        <w:right w:w="0" w:type="dxa"/>
        <w:bottom w:w="0" w:type="dxa"/>
      </w:tblCellMar>
    </w:tblPr>
  </w:style>
  <w:style w:type="character" w:styleId="999" w:customStyle="1">
    <w:name w:val="font51"/>
    <w:basedOn w:val="740"/>
    <w:uiPriority w:val="0"/>
    <w:qFormat/>
    <w:rPr>
      <w:rFonts w:hint="eastAsia" w:ascii="宋体" w:hAnsi="宋体" w:eastAsia="宋体" w:cs="宋体"/>
      <w:color w:val="ff0000"/>
      <w:sz w:val="20"/>
      <w:szCs w:val="20"/>
      <w:u w:val="none"/>
    </w:rPr>
  </w:style>
  <w:style w:type="character" w:styleId="1000" w:customStyle="1">
    <w:name w:val="纯文本 字符"/>
    <w:basedOn w:val="740"/>
    <w:link w:val="752"/>
    <w:uiPriority w:val="0"/>
    <w:qFormat/>
    <w:rPr>
      <w:rFonts w:ascii="宋体" w:hAnsi="Courier New" w:cs="Courier New"/>
      <w:sz w:val="21"/>
      <w:szCs w:val="21"/>
    </w:rPr>
  </w:style>
  <w:style w:type="character" w:styleId="1001" w:customStyle="1">
    <w:name w:val="批注文字 字符"/>
    <w:basedOn w:val="740"/>
    <w:link w:val="746"/>
    <w:uiPriority w:val="0"/>
    <w:qFormat/>
    <w:rPr>
      <w:rFonts w:asciiTheme="minorHAnsi" w:hAnsiTheme="minorHAnsi" w:eastAsiaTheme="minorEastAsia" w:cstheme="minorBidi"/>
      <w:sz w:val="21"/>
      <w:szCs w:val="24"/>
    </w:rPr>
  </w:style>
  <w:style w:type="paragraph" w:styleId="1002" w:customStyle="1">
    <w:name w:val="正文文本缩进11"/>
    <w:basedOn w:val="730"/>
    <w:next w:val="730"/>
    <w:uiPriority w:val="0"/>
    <w:qFormat/>
    <w:pPr>
      <w:ind w:left="420"/>
      <w:spacing w:after="120"/>
    </w:pPr>
  </w:style>
  <w:style w:type="character" w:styleId="1003" w:customStyle="1">
    <w:name w:val="font21"/>
    <w:uiPriority w:val="0"/>
    <w:qFormat/>
    <w:rPr>
      <w:rFonts w:asciiTheme="minorHAnsi" w:hAnsiTheme="minorHAnsi" w:eastAsiaTheme="minorEastAsia" w:cstheme="minorBidi"/>
      <w:sz w:val="21"/>
      <w:szCs w:val="24"/>
      <w:lang w:val="en-US" w:eastAsia="zh-CN" w:bidi="ar-SA"/>
    </w:rPr>
  </w:style>
  <w:style w:type="paragraph" w:styleId="1004" w:customStyle="1">
    <w:name w:val="修订1"/>
    <w:hidden/>
    <w:uiPriority w:val="99"/>
    <w:semiHidden/>
    <w:qFormat/>
    <w:rPr>
      <w:rFonts w:hint="default" w:asciiTheme="minorHAnsi" w:hAnsiTheme="minorHAnsi" w:eastAsiaTheme="minorEastAsia" w:cstheme="minorBidi"/>
      <w:sz w:val="21"/>
      <w:szCs w:val="24"/>
      <w:lang w:val="en-US" w:eastAsia="zh-CN" w:bidi="ar-SA"/>
    </w:rPr>
  </w:style>
  <w:style w:type="paragraph" w:styleId="1005" w:customStyle="1">
    <w:name w:val="页眉12"/>
    <w:basedOn w:val="730"/>
    <w:uiPriority w:val="0"/>
    <w:qFormat/>
    <w:pPr>
      <w:jc w:val="center"/>
      <w:tabs>
        <w:tab w:val="center" w:pos="4153" w:leader="none"/>
        <w:tab w:val="right" w:pos="8306" w:leader="none"/>
      </w:tabs>
      <w:pBdr>
        <w:bottom w:val="single" w:color="000000" w:sz="6" w:space="1"/>
      </w:pBdr>
    </w:pPr>
    <w:rPr>
      <w:sz w:val="18"/>
      <w:szCs w:val="18"/>
    </w:rPr>
  </w:style>
  <w:style w:type="paragraph" w:styleId="1006" w:customStyle="1">
    <w:name w:val="样式 FC正文 + 首行缩进:  2 字符 段前: 0.5 行 段后: 0.5 行"/>
    <w:basedOn w:val="1007"/>
    <w:uiPriority w:val="0"/>
    <w:qFormat/>
    <w:pPr>
      <w:ind w:firstLine="480"/>
      <w:spacing w:before="120" w:after="120"/>
    </w:pPr>
    <w:rPr>
      <w:rFonts w:cs="宋体"/>
      <w:szCs w:val="20"/>
    </w:rPr>
  </w:style>
  <w:style w:type="paragraph" w:styleId="1007" w:customStyle="1">
    <w:name w:val="FC正文"/>
    <w:basedOn w:val="730"/>
    <w:uiPriority w:val="0"/>
    <w:qFormat/>
    <w:pPr>
      <w:contextualSpacing/>
      <w:ind w:firstLine="200"/>
      <w:spacing w:line="360" w:lineRule="auto"/>
    </w:pPr>
    <w:rPr>
      <w:rFonts w:asciiTheme="minorEastAsia" w:hAnsiTheme="minorEastAsia" w:cstheme="minorEastAsia"/>
      <w:sz w:val="24"/>
    </w:rPr>
  </w:style>
  <w:style w:type="character" w:styleId="1008" w:customStyle="1">
    <w:name w:val="文档结构图 字符"/>
    <w:basedOn w:val="740"/>
    <w:link w:val="745"/>
    <w:uiPriority w:val="99"/>
    <w:semiHidden/>
    <w:qFormat/>
    <w:rPr>
      <w:rFonts w:ascii="宋体" w:hAnsiTheme="minorHAnsi" w:cstheme="minorBidi"/>
      <w:sz w:val="18"/>
      <w:szCs w:val="18"/>
    </w:rPr>
  </w:style>
  <w:style w:type="paragraph" w:styleId="1009" w:customStyle="1">
    <w:name w:val="TOC 标题3"/>
    <w:basedOn w:val="731"/>
    <w:next w:val="730"/>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character" w:styleId="1010" w:customStyle="1">
    <w:name w:val="未处理的提及1"/>
    <w:basedOn w:val="740"/>
    <w:uiPriority w:val="99"/>
    <w:semiHidden/>
    <w:unhideWhenUsed/>
    <w:qFormat/>
    <w:rPr>
      <w:color w:val="605e5c"/>
      <w:shd w:val="clear" w:color="auto" w:fill="e1dfdd"/>
    </w:rPr>
  </w:style>
  <w:style w:type="numbering" w:styleId="10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11B893F-1894-4034-A4BF-FE5B01A8FDE7}"/>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范蓉</cp:lastModifiedBy>
  <cp:revision>8</cp:revision>
  <dcterms:created xsi:type="dcterms:W3CDTF">2025-11-21T01:41:00Z</dcterms:created>
  <dcterms:modified xsi:type="dcterms:W3CDTF">2025-11-25T03:15:11Z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A25C2753A67B4DD1BB8FED23AD5A1A62_13</vt:lpwstr>
  </property>
  <property fmtid="{D5CDD505-2E9C-101B-9397-08002B2CF9AE}" pid="4" name="KSOTemplateDocerSaveRecord">
    <vt:lpwstr>eyJoZGlkIjoiNDI3Yjc3NzIyNzlhZTBmOTM1YTllNjQ1NzJiN2E4MzIiLCJ1c2VySWQiOiI0NTU4NDIxOTAifQ==</vt:lpwstr>
  </property>
</Properties>
</file>